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D54B1" w14:textId="36F43C7B" w:rsidR="00E66558" w:rsidRDefault="009D71E8">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936F2E3" w14:textId="77777777" w:rsidR="00723DF1" w:rsidRDefault="00723DF1" w:rsidP="00723DF1">
      <w:pPr>
        <w:rPr>
          <w:b/>
        </w:rPr>
      </w:pPr>
      <w:r>
        <w:t xml:space="preserve">This statement details our school’s use of pupil </w:t>
      </w:r>
      <w:r w:rsidRPr="005F2600">
        <w:t xml:space="preserve">premium </w:t>
      </w:r>
      <w:r>
        <w:t xml:space="preserve">funding to help improve the attainment of our disadvantaged pupils. </w:t>
      </w:r>
    </w:p>
    <w:p w14:paraId="3C10BE30" w14:textId="77777777" w:rsidR="00723DF1" w:rsidRDefault="00723DF1" w:rsidP="00723DF1">
      <w:pPr>
        <w:rPr>
          <w:b/>
        </w:rPr>
      </w:pPr>
      <w:r>
        <w:t>It outlines our pupil premium strategy, how we intend to spend the funding in this academic year and the outcomes for disadvantaged pupils last academic year.</w:t>
      </w:r>
    </w:p>
    <w:p w14:paraId="4EC5DC27" w14:textId="2629A1CC" w:rsidR="00FE031F" w:rsidRPr="00FE031F" w:rsidRDefault="00FE031F" w:rsidP="00FE031F">
      <w:r>
        <w:rPr>
          <w:b/>
          <w:bCs/>
          <w:noProof/>
          <w:color w:val="auto"/>
        </w:rPr>
        <mc:AlternateContent>
          <mc:Choice Requires="wps">
            <w:drawing>
              <wp:anchor distT="0" distB="0" distL="114300" distR="114300" simplePos="0" relativeHeight="251659264" behindDoc="0" locked="0" layoutInCell="1" allowOverlap="1" wp14:anchorId="775FAAE7" wp14:editId="6622E3A7">
                <wp:simplePos x="0" y="0"/>
                <wp:positionH relativeFrom="margin">
                  <wp:posOffset>22860</wp:posOffset>
                </wp:positionH>
                <wp:positionV relativeFrom="paragraph">
                  <wp:posOffset>32385</wp:posOffset>
                </wp:positionV>
                <wp:extent cx="6448425" cy="394335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6448425" cy="3943350"/>
                        </a:xfrm>
                        <a:prstGeom prst="rect">
                          <a:avLst/>
                        </a:prstGeom>
                        <a:solidFill>
                          <a:schemeClr val="lt1"/>
                        </a:solidFill>
                        <a:ln w="6350">
                          <a:solidFill>
                            <a:prstClr val="black"/>
                          </a:solidFill>
                        </a:ln>
                      </wps:spPr>
                      <wps:txbx>
                        <w:txbxContent>
                          <w:p w14:paraId="1E0FEEAB" w14:textId="72236A2E" w:rsidR="00FE031F" w:rsidRPr="00FE031F" w:rsidRDefault="00FE031F" w:rsidP="00FE031F">
                            <w:pPr>
                              <w:jc w:val="center"/>
                              <w:rPr>
                                <w:b/>
                                <w:bCs/>
                                <w:u w:val="single"/>
                              </w:rPr>
                            </w:pPr>
                            <w:r w:rsidRPr="00FE031F">
                              <w:rPr>
                                <w:b/>
                                <w:bCs/>
                                <w:u w:val="single"/>
                              </w:rPr>
                              <w:t xml:space="preserve">EEF Research </w:t>
                            </w:r>
                          </w:p>
                          <w:p w14:paraId="7C8BCDF6" w14:textId="77777777" w:rsidR="00FE031F" w:rsidRDefault="00FE031F">
                            <w:r w:rsidRPr="00B65BB6">
                              <w:rPr>
                                <w:b/>
                                <w:bCs/>
                              </w:rPr>
                              <w:t>Teaching</w:t>
                            </w:r>
                            <w:r>
                              <w:t xml:space="preserve">: Spending on improving teaching might include professional development, training and support for early career teachers and recruitment and retention. Ensuring an effective teacher is in front of every class, and that every teacher is supported to keep improving, is the key ingredient of a successful school and should rightly be a top priority for Pupil Premium Spending. </w:t>
                            </w:r>
                          </w:p>
                          <w:p w14:paraId="56532EF9" w14:textId="77777777" w:rsidR="00FE031F" w:rsidRDefault="00FE031F">
                            <w:r w:rsidRPr="00B65BB6">
                              <w:rPr>
                                <w:b/>
                                <w:bCs/>
                              </w:rPr>
                              <w:t>Targeted Academic Support</w:t>
                            </w:r>
                            <w:r>
                              <w:t xml:space="preserve">: Evidence consistently shows the positive impact targeted support can have, including those who are not making good progress across the spectrum of achievement. Considering how classroom teachers and teaching assistants can provide targeted academic support, including how to link structured one-to-one or small group intervention to classroom teaching, is likely to be a key component of an effective Pupil Premium Strategy. </w:t>
                            </w:r>
                          </w:p>
                          <w:p w14:paraId="3F0884A5" w14:textId="1A69579F" w:rsidR="00FE031F" w:rsidRDefault="00FE031F">
                            <w:r w:rsidRPr="00B65BB6">
                              <w:rPr>
                                <w:b/>
                                <w:bCs/>
                              </w:rPr>
                              <w:t>Wider Strategies</w:t>
                            </w:r>
                            <w:r>
                              <w:t>: Wider strategies relate to the most significant non-academic barriers to success in school, including attendance, behaviour and social and emotional support. While many barriers may be common between schools, it is also likely that the specific features of the community each school serves will affect spending in this category.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5FAAE7" id="_x0000_t202" coordsize="21600,21600" o:spt="202" path="m,l,21600r21600,l21600,xe">
                <v:stroke joinstyle="miter"/>
                <v:path gradientshapeok="t" o:connecttype="rect"/>
              </v:shapetype>
              <v:shape id="Text Box 2" o:spid="_x0000_s1026" type="#_x0000_t202" style="position:absolute;margin-left:1.8pt;margin-top:2.55pt;width:507.75pt;height:31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" fillcolor="white [3201]" strokeweight=".5pt">
                <v:textbox>
                  <w:txbxContent>
                    <w:p w14:paraId="1E0FEEAB" w14:textId="72236A2E" w:rsidR="00FE031F" w:rsidRPr="00FE031F" w:rsidRDefault="00FE031F" w:rsidP="00FE031F">
                      <w:pPr>
                        <w:jc w:val="center"/>
                        <w:rPr>
                          <w:b/>
                          <w:bCs/>
                          <w:u w:val="single"/>
                        </w:rPr>
                      </w:pPr>
                      <w:r w:rsidRPr="00FE031F">
                        <w:rPr>
                          <w:b/>
                          <w:bCs/>
                          <w:u w:val="single"/>
                        </w:rPr>
                        <w:t xml:space="preserve">EEF Research </w:t>
                      </w:r>
                    </w:p>
                    <w:p w14:paraId="7C8BCDF6" w14:textId="77777777" w:rsidR="00FE031F" w:rsidRDefault="00FE031F">
                      <w:r w:rsidRPr="00B65BB6">
                        <w:rPr>
                          <w:b/>
                          <w:bCs/>
                        </w:rPr>
                        <w:t>Teaching</w:t>
                      </w:r>
                      <w:r>
                        <w:t xml:space="preserve">: Spending on improving teaching might include professional development, training and support for early career teachers and recruitment and retention. Ensuring an effective teacher is in front of every class, and that every teacher is supported to keep improving, is the key ingredient of a successful school and should rightly be a top priority for Pupil Premium Spending. </w:t>
                      </w:r>
                    </w:p>
                    <w:p w14:paraId="56532EF9" w14:textId="77777777" w:rsidR="00FE031F" w:rsidRDefault="00FE031F">
                      <w:r w:rsidRPr="00B65BB6">
                        <w:rPr>
                          <w:b/>
                          <w:bCs/>
                        </w:rPr>
                        <w:t>Targeted Academic Support</w:t>
                      </w:r>
                      <w:r>
                        <w:t xml:space="preserve">: Evidence consistently shows the positive impact targeted support can have, including those who are not making good progress across the spectrum of achievement. Considering how classroom teachers and teaching assistants can provide targeted academic support, including how to link structured one-to-one or small group intervention to classroom teaching, is likely to be a key component of an effective Pupil Premium Strategy. </w:t>
                      </w:r>
                    </w:p>
                    <w:p w14:paraId="3F0884A5" w14:textId="1A69579F" w:rsidR="00FE031F" w:rsidRDefault="00FE031F">
                      <w:r w:rsidRPr="00B65BB6">
                        <w:rPr>
                          <w:b/>
                          <w:bCs/>
                        </w:rPr>
                        <w:t>Wider Strategies</w:t>
                      </w:r>
                      <w:r>
                        <w:t>: Wider strategies relate to the most significant non-academic barriers to success in school, including attendance, behaviour and social and emotional support. While many barriers may be common between schools, it is also likely that the specific features of the community each school serves will affect spending in this category.</w:t>
                      </w:r>
                    </w:p>
                  </w:txbxContent>
                </v:textbox>
                <w10:wrap anchorx="margin"/>
              </v:shape>
            </w:pict>
          </mc:Fallback>
        </mc:AlternateContent>
      </w:r>
    </w:p>
    <w:p w14:paraId="2ADE4F23" w14:textId="77777777" w:rsidR="00CE55C8" w:rsidRDefault="00CE55C8">
      <w:pPr>
        <w:pStyle w:val="Heading2"/>
      </w:pPr>
    </w:p>
    <w:p w14:paraId="56E7FD81" w14:textId="77777777" w:rsidR="00CE55C8" w:rsidRDefault="00CE55C8">
      <w:pPr>
        <w:pStyle w:val="Heading2"/>
      </w:pPr>
    </w:p>
    <w:p w14:paraId="012DEAFB" w14:textId="77777777" w:rsidR="00CE55C8" w:rsidRDefault="00CE55C8">
      <w:pPr>
        <w:pStyle w:val="Heading2"/>
      </w:pPr>
    </w:p>
    <w:p w14:paraId="5D836A69" w14:textId="77777777" w:rsidR="00CE55C8" w:rsidRDefault="00CE55C8">
      <w:pPr>
        <w:pStyle w:val="Heading2"/>
      </w:pPr>
    </w:p>
    <w:p w14:paraId="3C8CF46A" w14:textId="77777777" w:rsidR="00CE55C8" w:rsidRDefault="00CE55C8">
      <w:pPr>
        <w:pStyle w:val="Heading2"/>
      </w:pPr>
    </w:p>
    <w:p w14:paraId="5EA3EF1E" w14:textId="77777777" w:rsidR="00CE55C8" w:rsidRDefault="00CE55C8">
      <w:pPr>
        <w:pStyle w:val="Heading2"/>
      </w:pPr>
    </w:p>
    <w:p w14:paraId="2A176A30" w14:textId="77777777" w:rsidR="00CE55C8" w:rsidRDefault="00CE55C8">
      <w:pPr>
        <w:pStyle w:val="Heading2"/>
      </w:pPr>
    </w:p>
    <w:p w14:paraId="2A7D54B4" w14:textId="521927C4"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3BDF0B8B">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rsidTr="3BDF0B8B">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8" w14:textId="77777777" w:rsidR="00E66558" w:rsidRDefault="009D71E8">
            <w:pPr>
              <w:pStyle w:val="TableRow"/>
            </w:pPr>
            <w:r>
              <w:t>School name</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9" w14:textId="76F94416" w:rsidR="00E66558" w:rsidRDefault="00FE031F">
            <w:pPr>
              <w:pStyle w:val="TableRow"/>
            </w:pPr>
            <w:r>
              <w:t>Byrchall High School</w:t>
            </w:r>
          </w:p>
        </w:tc>
      </w:tr>
      <w:tr w:rsidR="00E66558" w14:paraId="2A7D54BD" w14:textId="77777777" w:rsidTr="3BDF0B8B">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C" w14:textId="7465EA02" w:rsidR="00E66558" w:rsidRDefault="000A7CAB">
            <w:pPr>
              <w:pStyle w:val="TableRow"/>
            </w:pPr>
            <w:r>
              <w:t>1</w:t>
            </w:r>
            <w:r w:rsidR="00913F89">
              <w:t>140</w:t>
            </w:r>
          </w:p>
        </w:tc>
      </w:tr>
      <w:tr w:rsidR="00E66558" w14:paraId="2A7D54C0" w14:textId="77777777" w:rsidTr="3BDF0B8B">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F" w14:textId="5F21807F" w:rsidR="00E66558" w:rsidRDefault="000A7CAB">
            <w:pPr>
              <w:pStyle w:val="TableRow"/>
            </w:pPr>
            <w:r>
              <w:t>3</w:t>
            </w:r>
            <w:r w:rsidR="00913F89">
              <w:t>5</w:t>
            </w:r>
            <w:r>
              <w:t>.</w:t>
            </w:r>
            <w:r w:rsidR="00913F89">
              <w:t>5</w:t>
            </w:r>
            <w:r w:rsidR="003B7D34">
              <w:t>3</w:t>
            </w:r>
            <w:r w:rsidR="00FE031F">
              <w:t>% (</w:t>
            </w:r>
            <w:r w:rsidR="003B7D34">
              <w:t>40</w:t>
            </w:r>
            <w:r w:rsidR="00913F89">
              <w:t>5</w:t>
            </w:r>
            <w:r w:rsidR="00FE031F">
              <w:t xml:space="preserve"> pupils)</w:t>
            </w:r>
          </w:p>
        </w:tc>
      </w:tr>
      <w:tr w:rsidR="00E66558" w14:paraId="2A7D54C3" w14:textId="77777777" w:rsidTr="3BDF0B8B">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1" w14:textId="77777777" w:rsidR="00E66558" w:rsidRDefault="009D71E8">
            <w:pPr>
              <w:pStyle w:val="TableRow"/>
            </w:pPr>
            <w:r>
              <w:rPr>
                <w:szCs w:val="22"/>
              </w:rPr>
              <w:t xml:space="preserve">Academic year/years that our current pupil premium strategy plan covers </w:t>
            </w:r>
            <w:r>
              <w:rPr>
                <w:b/>
                <w:bCs/>
                <w:szCs w:val="22"/>
              </w:rPr>
              <w:t>(3 year plans are recommended)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2" w14:textId="230D1317" w:rsidR="00E66558" w:rsidRDefault="003B7D34">
            <w:pPr>
              <w:pStyle w:val="TableRow"/>
            </w:pPr>
            <w:r>
              <w:t>202</w:t>
            </w:r>
            <w:r w:rsidR="00913F89">
              <w:t>5</w:t>
            </w:r>
            <w:r>
              <w:t>-202</w:t>
            </w:r>
            <w:r w:rsidR="00913F89">
              <w:t>8</w:t>
            </w:r>
          </w:p>
        </w:tc>
      </w:tr>
      <w:tr w:rsidR="00E66558" w14:paraId="2A7D54C6" w14:textId="77777777" w:rsidTr="3BDF0B8B">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5" w14:textId="1B8E26BE" w:rsidR="00E66558" w:rsidRDefault="003B7D34">
            <w:pPr>
              <w:pStyle w:val="TableRow"/>
            </w:pPr>
            <w:r>
              <w:t>1</w:t>
            </w:r>
            <w:r w:rsidR="00913F89">
              <w:t>3</w:t>
            </w:r>
            <w:r w:rsidRPr="003B7D34">
              <w:rPr>
                <w:vertAlign w:val="superscript"/>
              </w:rPr>
              <w:t>th</w:t>
            </w:r>
            <w:r>
              <w:t xml:space="preserve"> September 202</w:t>
            </w:r>
            <w:r w:rsidR="00913F89">
              <w:t>5</w:t>
            </w:r>
          </w:p>
        </w:tc>
      </w:tr>
      <w:tr w:rsidR="00E66558" w14:paraId="2A7D54C9" w14:textId="77777777" w:rsidTr="3BDF0B8B">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8" w14:textId="218C9C5E" w:rsidR="00E66558" w:rsidRDefault="000A7CAB">
            <w:pPr>
              <w:pStyle w:val="TableRow"/>
            </w:pPr>
            <w:r>
              <w:t>September 202</w:t>
            </w:r>
            <w:r w:rsidR="00913F89">
              <w:t>6</w:t>
            </w:r>
          </w:p>
        </w:tc>
      </w:tr>
      <w:tr w:rsidR="00E66558" w14:paraId="2A7D54CC" w14:textId="77777777" w:rsidTr="3BDF0B8B">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A" w14:textId="77777777" w:rsidR="00E66558" w:rsidRDefault="009D71E8">
            <w:pPr>
              <w:pStyle w:val="TableRow"/>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B" w14:textId="11C8D2A3" w:rsidR="00E66558" w:rsidRPr="00CD4ECC" w:rsidRDefault="00A4768A">
            <w:pPr>
              <w:pStyle w:val="TableRow"/>
              <w:rPr>
                <w:color w:val="auto"/>
              </w:rPr>
            </w:pPr>
            <w:r w:rsidRPr="00CD4ECC">
              <w:rPr>
                <w:color w:val="auto"/>
              </w:rPr>
              <w:t>P Paul</w:t>
            </w:r>
            <w:r w:rsidR="00FE031F" w:rsidRPr="00CD4ECC">
              <w:rPr>
                <w:color w:val="auto"/>
              </w:rPr>
              <w:t xml:space="preserve">  </w:t>
            </w:r>
          </w:p>
        </w:tc>
      </w:tr>
      <w:tr w:rsidR="00E66558" w14:paraId="2A7D54CF" w14:textId="77777777" w:rsidTr="3BDF0B8B">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D" w14:textId="77777777" w:rsidR="00E66558" w:rsidRDefault="009D71E8">
            <w:pPr>
              <w:pStyle w:val="TableRow"/>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E" w14:textId="08CE31AE" w:rsidR="00E66558" w:rsidRPr="00CD4ECC" w:rsidRDefault="00FE031F">
            <w:pPr>
              <w:pStyle w:val="TableRow"/>
              <w:rPr>
                <w:color w:val="auto"/>
              </w:rPr>
            </w:pPr>
            <w:r w:rsidRPr="00CD4ECC">
              <w:rPr>
                <w:color w:val="auto"/>
              </w:rPr>
              <w:t xml:space="preserve">C Smith </w:t>
            </w:r>
          </w:p>
        </w:tc>
      </w:tr>
      <w:tr w:rsidR="00E66558" w14:paraId="2A7D54D2" w14:textId="77777777" w:rsidTr="3BDF0B8B">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0" w14:textId="77777777" w:rsidR="00E66558" w:rsidRDefault="009D71E8">
            <w:pPr>
              <w:pStyle w:val="TableRow"/>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1" w14:textId="53C595E0" w:rsidR="00E66558" w:rsidRPr="00CD4ECC" w:rsidRDefault="00E66558">
            <w:pPr>
              <w:pStyle w:val="TableRow"/>
              <w:rPr>
                <w:color w:val="auto"/>
              </w:rPr>
            </w:pPr>
          </w:p>
        </w:tc>
      </w:tr>
    </w:tbl>
    <w:bookmarkEnd w:id="2"/>
    <w:bookmarkEnd w:id="3"/>
    <w:bookmarkEnd w:id="4"/>
    <w:p w14:paraId="7FDC20E5" w14:textId="19502799" w:rsidR="00FE031F" w:rsidRDefault="00755E62">
      <w:pPr>
        <w:spacing w:before="480" w:line="240" w:lineRule="auto"/>
        <w:rPr>
          <w:b/>
          <w:color w:val="104F75"/>
          <w:sz w:val="32"/>
          <w:szCs w:val="32"/>
        </w:rPr>
      </w:pPr>
      <w:r>
        <w:rPr>
          <w:b/>
          <w:color w:val="104F75"/>
          <w:sz w:val="32"/>
          <w:szCs w:val="32"/>
        </w:rPr>
        <w:lastRenderedPageBreak/>
        <w:t>School profile</w:t>
      </w:r>
    </w:p>
    <w:tbl>
      <w:tblPr>
        <w:tblStyle w:val="TableGrid"/>
        <w:tblW w:w="9486" w:type="dxa"/>
        <w:jc w:val="center"/>
        <w:tblLook w:val="04A0" w:firstRow="1" w:lastRow="0" w:firstColumn="1" w:lastColumn="0" w:noHBand="0" w:noVBand="1"/>
      </w:tblPr>
      <w:tblGrid>
        <w:gridCol w:w="1057"/>
        <w:gridCol w:w="1150"/>
        <w:gridCol w:w="1027"/>
        <w:gridCol w:w="1045"/>
        <w:gridCol w:w="1126"/>
        <w:gridCol w:w="1094"/>
        <w:gridCol w:w="963"/>
        <w:gridCol w:w="1011"/>
        <w:gridCol w:w="1013"/>
      </w:tblGrid>
      <w:tr w:rsidR="00960FDA" w:rsidRPr="00062D70" w14:paraId="32B0FC78" w14:textId="77777777" w:rsidTr="00960FDA">
        <w:trPr>
          <w:trHeight w:val="421"/>
          <w:jc w:val="center"/>
        </w:trPr>
        <w:tc>
          <w:tcPr>
            <w:tcW w:w="1059" w:type="dxa"/>
            <w:shd w:val="clear" w:color="auto" w:fill="D9D9D9" w:themeFill="background1" w:themeFillShade="D9"/>
          </w:tcPr>
          <w:p w14:paraId="692F8FA2" w14:textId="77777777" w:rsidR="00960FDA" w:rsidRPr="00062D70" w:rsidRDefault="00960FDA" w:rsidP="00721F14">
            <w:pPr>
              <w:autoSpaceDE w:val="0"/>
              <w:autoSpaceDN w:val="0"/>
              <w:adjustRightInd w:val="0"/>
              <w:spacing w:after="0" w:line="240" w:lineRule="auto"/>
              <w:jc w:val="center"/>
              <w:rPr>
                <w:rFonts w:ascii="Arial" w:hAnsi="Arial" w:cs="Arial"/>
                <w:b/>
                <w:bCs/>
              </w:rPr>
            </w:pPr>
            <w:r w:rsidRPr="00062D70">
              <w:rPr>
                <w:rFonts w:ascii="Arial" w:hAnsi="Arial" w:cs="Arial"/>
                <w:b/>
                <w:bCs/>
              </w:rPr>
              <w:t>Year</w:t>
            </w:r>
          </w:p>
        </w:tc>
        <w:tc>
          <w:tcPr>
            <w:tcW w:w="1150" w:type="dxa"/>
            <w:shd w:val="clear" w:color="auto" w:fill="D9D9D9" w:themeFill="background1" w:themeFillShade="D9"/>
          </w:tcPr>
          <w:p w14:paraId="60A626B8" w14:textId="77777777" w:rsidR="00960FDA" w:rsidRPr="00062D70" w:rsidRDefault="00960FDA" w:rsidP="00721F14">
            <w:pPr>
              <w:autoSpaceDE w:val="0"/>
              <w:autoSpaceDN w:val="0"/>
              <w:adjustRightInd w:val="0"/>
              <w:spacing w:after="0" w:line="240" w:lineRule="auto"/>
              <w:jc w:val="center"/>
              <w:rPr>
                <w:rFonts w:ascii="Arial" w:hAnsi="Arial" w:cs="Arial"/>
                <w:b/>
                <w:bCs/>
              </w:rPr>
            </w:pPr>
            <w:r w:rsidRPr="00062D70">
              <w:rPr>
                <w:rFonts w:ascii="Arial" w:hAnsi="Arial" w:cs="Arial"/>
                <w:b/>
                <w:bCs/>
              </w:rPr>
              <w:t>Number of PP</w:t>
            </w:r>
          </w:p>
        </w:tc>
        <w:tc>
          <w:tcPr>
            <w:tcW w:w="1029" w:type="dxa"/>
            <w:shd w:val="clear" w:color="auto" w:fill="D9D9D9" w:themeFill="background1" w:themeFillShade="D9"/>
          </w:tcPr>
          <w:p w14:paraId="61285E1F" w14:textId="77777777" w:rsidR="00960FDA" w:rsidRPr="00062D70" w:rsidRDefault="00960FDA" w:rsidP="00721F14">
            <w:pPr>
              <w:autoSpaceDE w:val="0"/>
              <w:autoSpaceDN w:val="0"/>
              <w:adjustRightInd w:val="0"/>
              <w:spacing w:after="0" w:line="240" w:lineRule="auto"/>
              <w:jc w:val="center"/>
              <w:rPr>
                <w:rFonts w:ascii="Arial" w:hAnsi="Arial" w:cs="Arial"/>
                <w:b/>
                <w:bCs/>
              </w:rPr>
            </w:pPr>
            <w:r w:rsidRPr="00062D70">
              <w:rPr>
                <w:rFonts w:ascii="Arial" w:hAnsi="Arial" w:cs="Arial"/>
                <w:b/>
                <w:bCs/>
              </w:rPr>
              <w:t>% Of PP</w:t>
            </w:r>
          </w:p>
        </w:tc>
        <w:tc>
          <w:tcPr>
            <w:tcW w:w="1047" w:type="dxa"/>
            <w:shd w:val="clear" w:color="auto" w:fill="D9D9D9" w:themeFill="background1" w:themeFillShade="D9"/>
          </w:tcPr>
          <w:p w14:paraId="64AFC013" w14:textId="77777777" w:rsidR="00960FDA" w:rsidRPr="00062D70" w:rsidRDefault="00960FDA" w:rsidP="00721F14">
            <w:pPr>
              <w:autoSpaceDE w:val="0"/>
              <w:autoSpaceDN w:val="0"/>
              <w:adjustRightInd w:val="0"/>
              <w:spacing w:after="0" w:line="240" w:lineRule="auto"/>
              <w:jc w:val="center"/>
              <w:rPr>
                <w:rFonts w:ascii="Arial" w:hAnsi="Arial" w:cs="Arial"/>
                <w:b/>
                <w:bCs/>
              </w:rPr>
            </w:pPr>
            <w:r w:rsidRPr="00062D70">
              <w:rPr>
                <w:rFonts w:ascii="Arial" w:hAnsi="Arial" w:cs="Arial"/>
                <w:b/>
                <w:bCs/>
              </w:rPr>
              <w:t>Male</w:t>
            </w:r>
          </w:p>
        </w:tc>
        <w:tc>
          <w:tcPr>
            <w:tcW w:w="1127" w:type="dxa"/>
            <w:shd w:val="clear" w:color="auto" w:fill="D9D9D9" w:themeFill="background1" w:themeFillShade="D9"/>
          </w:tcPr>
          <w:p w14:paraId="4568798F" w14:textId="77777777" w:rsidR="00960FDA" w:rsidRPr="00062D70" w:rsidRDefault="00960FDA" w:rsidP="00721F14">
            <w:pPr>
              <w:autoSpaceDE w:val="0"/>
              <w:autoSpaceDN w:val="0"/>
              <w:adjustRightInd w:val="0"/>
              <w:spacing w:after="0" w:line="240" w:lineRule="auto"/>
              <w:jc w:val="center"/>
              <w:rPr>
                <w:rFonts w:ascii="Arial" w:hAnsi="Arial" w:cs="Arial"/>
                <w:b/>
                <w:bCs/>
              </w:rPr>
            </w:pPr>
            <w:r w:rsidRPr="00062D70">
              <w:rPr>
                <w:rFonts w:ascii="Arial" w:hAnsi="Arial" w:cs="Arial"/>
                <w:b/>
                <w:bCs/>
              </w:rPr>
              <w:t>Female</w:t>
            </w:r>
          </w:p>
        </w:tc>
        <w:tc>
          <w:tcPr>
            <w:tcW w:w="1095" w:type="dxa"/>
            <w:shd w:val="clear" w:color="auto" w:fill="D9D9D9" w:themeFill="background1" w:themeFillShade="D9"/>
          </w:tcPr>
          <w:p w14:paraId="540C48ED" w14:textId="3B86C573" w:rsidR="00960FDA" w:rsidRPr="00062D70" w:rsidRDefault="00960FDA" w:rsidP="00721F14">
            <w:pPr>
              <w:autoSpaceDE w:val="0"/>
              <w:autoSpaceDN w:val="0"/>
              <w:adjustRightInd w:val="0"/>
              <w:spacing w:after="0" w:line="240" w:lineRule="auto"/>
              <w:jc w:val="center"/>
              <w:rPr>
                <w:rFonts w:ascii="Arial" w:hAnsi="Arial" w:cs="Arial"/>
                <w:b/>
                <w:bCs/>
              </w:rPr>
            </w:pPr>
            <w:r w:rsidRPr="00062D70">
              <w:rPr>
                <w:rFonts w:ascii="Arial" w:hAnsi="Arial" w:cs="Arial"/>
                <w:b/>
                <w:bCs/>
              </w:rPr>
              <w:t>SEND</w:t>
            </w:r>
            <w:r>
              <w:rPr>
                <w:rFonts w:ascii="Arial" w:hAnsi="Arial" w:cs="Arial"/>
                <w:b/>
                <w:bCs/>
              </w:rPr>
              <w:t>- E</w:t>
            </w:r>
          </w:p>
        </w:tc>
        <w:tc>
          <w:tcPr>
            <w:tcW w:w="949" w:type="dxa"/>
            <w:shd w:val="clear" w:color="auto" w:fill="D9D9D9" w:themeFill="background1" w:themeFillShade="D9"/>
          </w:tcPr>
          <w:p w14:paraId="1ECDB9B8" w14:textId="63DDB58A" w:rsidR="00960FDA" w:rsidRPr="00062D70" w:rsidRDefault="00960FDA" w:rsidP="00721F14">
            <w:pPr>
              <w:spacing w:after="0" w:line="240" w:lineRule="auto"/>
              <w:jc w:val="center"/>
              <w:rPr>
                <w:rFonts w:cs="Arial"/>
                <w:b/>
                <w:bCs/>
              </w:rPr>
            </w:pPr>
            <w:r w:rsidRPr="00062D70">
              <w:rPr>
                <w:rFonts w:ascii="Arial" w:hAnsi="Arial" w:cs="Arial"/>
                <w:b/>
                <w:bCs/>
              </w:rPr>
              <w:t>SEND</w:t>
            </w:r>
            <w:r>
              <w:rPr>
                <w:rFonts w:ascii="Arial" w:hAnsi="Arial" w:cs="Arial"/>
                <w:b/>
                <w:bCs/>
              </w:rPr>
              <w:t>- K</w:t>
            </w:r>
          </w:p>
        </w:tc>
        <w:tc>
          <w:tcPr>
            <w:tcW w:w="1014" w:type="dxa"/>
            <w:shd w:val="clear" w:color="auto" w:fill="D9D9D9" w:themeFill="background1" w:themeFillShade="D9"/>
          </w:tcPr>
          <w:p w14:paraId="76568E1A" w14:textId="594A9F4A" w:rsidR="00960FDA" w:rsidRPr="00062D70" w:rsidRDefault="00960FDA" w:rsidP="00721F14">
            <w:pPr>
              <w:spacing w:after="0" w:line="240" w:lineRule="auto"/>
              <w:jc w:val="center"/>
              <w:rPr>
                <w:rFonts w:ascii="Arial" w:hAnsi="Arial" w:cs="Arial"/>
                <w:b/>
                <w:bCs/>
              </w:rPr>
            </w:pPr>
            <w:r w:rsidRPr="00062D70">
              <w:rPr>
                <w:rFonts w:ascii="Arial" w:hAnsi="Arial" w:cs="Arial"/>
                <w:b/>
                <w:bCs/>
              </w:rPr>
              <w:t>PP+</w:t>
            </w:r>
          </w:p>
        </w:tc>
        <w:tc>
          <w:tcPr>
            <w:tcW w:w="1016" w:type="dxa"/>
            <w:shd w:val="clear" w:color="auto" w:fill="D9D9D9" w:themeFill="background1" w:themeFillShade="D9"/>
          </w:tcPr>
          <w:p w14:paraId="71966BC3" w14:textId="77777777" w:rsidR="00960FDA" w:rsidRPr="00062D70" w:rsidRDefault="00960FDA" w:rsidP="00721F14">
            <w:pPr>
              <w:spacing w:line="240" w:lineRule="auto"/>
              <w:jc w:val="center"/>
              <w:rPr>
                <w:rFonts w:ascii="Arial" w:hAnsi="Arial" w:cs="Arial"/>
                <w:b/>
                <w:bCs/>
              </w:rPr>
            </w:pPr>
            <w:r w:rsidRPr="00062D70">
              <w:rPr>
                <w:rFonts w:ascii="Arial" w:hAnsi="Arial" w:cs="Arial"/>
                <w:b/>
                <w:bCs/>
              </w:rPr>
              <w:t>SPP</w:t>
            </w:r>
          </w:p>
        </w:tc>
      </w:tr>
      <w:tr w:rsidR="00960FDA" w:rsidRPr="00062D70" w14:paraId="354512F8" w14:textId="77777777" w:rsidTr="00960FDA">
        <w:trPr>
          <w:trHeight w:val="421"/>
          <w:jc w:val="center"/>
        </w:trPr>
        <w:tc>
          <w:tcPr>
            <w:tcW w:w="1059" w:type="dxa"/>
            <w:shd w:val="clear" w:color="auto" w:fill="D9D9D9" w:themeFill="background1" w:themeFillShade="D9"/>
          </w:tcPr>
          <w:p w14:paraId="4AD25F56" w14:textId="77777777" w:rsidR="00960FDA" w:rsidRPr="00062D70" w:rsidRDefault="00960FDA" w:rsidP="00721F14">
            <w:pPr>
              <w:autoSpaceDE w:val="0"/>
              <w:autoSpaceDN w:val="0"/>
              <w:adjustRightInd w:val="0"/>
              <w:spacing w:after="0" w:line="240" w:lineRule="auto"/>
              <w:rPr>
                <w:rFonts w:ascii="Arial" w:hAnsi="Arial" w:cs="Arial"/>
                <w:b/>
                <w:bCs/>
              </w:rPr>
            </w:pPr>
            <w:r w:rsidRPr="00062D70">
              <w:rPr>
                <w:rFonts w:ascii="Arial" w:hAnsi="Arial" w:cs="Arial"/>
                <w:b/>
                <w:bCs/>
              </w:rPr>
              <w:t>Year 7</w:t>
            </w:r>
          </w:p>
          <w:p w14:paraId="03A0349F" w14:textId="77777777" w:rsidR="00960FDA" w:rsidRPr="00062D70" w:rsidRDefault="00960FDA" w:rsidP="00721F14">
            <w:pPr>
              <w:autoSpaceDE w:val="0"/>
              <w:autoSpaceDN w:val="0"/>
              <w:adjustRightInd w:val="0"/>
              <w:spacing w:after="0" w:line="240" w:lineRule="auto"/>
              <w:rPr>
                <w:rFonts w:ascii="Arial" w:hAnsi="Arial" w:cs="Arial"/>
                <w:b/>
                <w:bCs/>
              </w:rPr>
            </w:pPr>
          </w:p>
        </w:tc>
        <w:tc>
          <w:tcPr>
            <w:tcW w:w="1150" w:type="dxa"/>
          </w:tcPr>
          <w:p w14:paraId="340F6B17" w14:textId="75683BC1" w:rsidR="00960FDA" w:rsidRPr="00062D70" w:rsidRDefault="003A075E" w:rsidP="00721F14">
            <w:pPr>
              <w:autoSpaceDE w:val="0"/>
              <w:autoSpaceDN w:val="0"/>
              <w:adjustRightInd w:val="0"/>
              <w:spacing w:after="0" w:line="240" w:lineRule="auto"/>
              <w:jc w:val="center"/>
              <w:rPr>
                <w:rFonts w:ascii="Arial" w:hAnsi="Arial" w:cs="Arial"/>
                <w:b/>
                <w:bCs/>
              </w:rPr>
            </w:pPr>
            <w:r>
              <w:rPr>
                <w:rFonts w:ascii="Arial" w:hAnsi="Arial" w:cs="Arial"/>
                <w:b/>
                <w:bCs/>
              </w:rPr>
              <w:t>81</w:t>
            </w:r>
          </w:p>
        </w:tc>
        <w:tc>
          <w:tcPr>
            <w:tcW w:w="1029" w:type="dxa"/>
          </w:tcPr>
          <w:p w14:paraId="4E8C1517" w14:textId="42C315AC" w:rsidR="00960FDA" w:rsidRPr="00062D70" w:rsidRDefault="00576CDE" w:rsidP="00721F14">
            <w:pPr>
              <w:autoSpaceDE w:val="0"/>
              <w:autoSpaceDN w:val="0"/>
              <w:adjustRightInd w:val="0"/>
              <w:spacing w:after="0" w:line="240" w:lineRule="auto"/>
              <w:jc w:val="center"/>
              <w:rPr>
                <w:rFonts w:ascii="Arial" w:hAnsi="Arial" w:cs="Arial"/>
                <w:b/>
                <w:bCs/>
              </w:rPr>
            </w:pPr>
            <w:r>
              <w:rPr>
                <w:rFonts w:ascii="Arial" w:hAnsi="Arial" w:cs="Arial"/>
                <w:b/>
                <w:bCs/>
              </w:rPr>
              <w:t>30.68</w:t>
            </w:r>
          </w:p>
        </w:tc>
        <w:tc>
          <w:tcPr>
            <w:tcW w:w="1047" w:type="dxa"/>
          </w:tcPr>
          <w:p w14:paraId="6F11F4FC" w14:textId="722F64DE" w:rsidR="00960FDA" w:rsidRPr="00062D70" w:rsidRDefault="00576CDE" w:rsidP="00721F14">
            <w:pPr>
              <w:autoSpaceDE w:val="0"/>
              <w:autoSpaceDN w:val="0"/>
              <w:adjustRightInd w:val="0"/>
              <w:spacing w:after="0" w:line="240" w:lineRule="auto"/>
              <w:jc w:val="center"/>
              <w:rPr>
                <w:rFonts w:ascii="Arial" w:hAnsi="Arial" w:cs="Arial"/>
                <w:b/>
                <w:bCs/>
              </w:rPr>
            </w:pPr>
            <w:r>
              <w:rPr>
                <w:rFonts w:ascii="Arial" w:hAnsi="Arial" w:cs="Arial"/>
                <w:b/>
                <w:bCs/>
              </w:rPr>
              <w:t>34</w:t>
            </w:r>
          </w:p>
        </w:tc>
        <w:tc>
          <w:tcPr>
            <w:tcW w:w="1127" w:type="dxa"/>
          </w:tcPr>
          <w:p w14:paraId="1EF05B63" w14:textId="17E4715A" w:rsidR="00960FDA" w:rsidRPr="00062D70" w:rsidRDefault="00576CDE" w:rsidP="00721F14">
            <w:pPr>
              <w:autoSpaceDE w:val="0"/>
              <w:autoSpaceDN w:val="0"/>
              <w:adjustRightInd w:val="0"/>
              <w:spacing w:after="0" w:line="240" w:lineRule="auto"/>
              <w:jc w:val="center"/>
              <w:rPr>
                <w:rFonts w:ascii="Arial" w:hAnsi="Arial" w:cs="Arial"/>
                <w:b/>
                <w:bCs/>
              </w:rPr>
            </w:pPr>
            <w:r>
              <w:rPr>
                <w:rFonts w:ascii="Arial" w:hAnsi="Arial" w:cs="Arial"/>
                <w:b/>
                <w:bCs/>
              </w:rPr>
              <w:t>47</w:t>
            </w:r>
          </w:p>
        </w:tc>
        <w:tc>
          <w:tcPr>
            <w:tcW w:w="1095" w:type="dxa"/>
          </w:tcPr>
          <w:p w14:paraId="05EEB7EA" w14:textId="31DD5320" w:rsidR="00960FDA" w:rsidRPr="00507DC5" w:rsidRDefault="00576CDE" w:rsidP="00721F14">
            <w:pPr>
              <w:autoSpaceDE w:val="0"/>
              <w:autoSpaceDN w:val="0"/>
              <w:adjustRightInd w:val="0"/>
              <w:spacing w:after="0" w:line="240" w:lineRule="auto"/>
              <w:jc w:val="center"/>
              <w:rPr>
                <w:rFonts w:ascii="Arial" w:hAnsi="Arial" w:cs="Arial"/>
                <w:b/>
                <w:bCs/>
                <w:color w:val="auto"/>
              </w:rPr>
            </w:pPr>
            <w:r w:rsidRPr="00507DC5">
              <w:rPr>
                <w:rFonts w:ascii="Arial" w:hAnsi="Arial" w:cs="Arial"/>
                <w:b/>
                <w:bCs/>
                <w:color w:val="auto"/>
              </w:rPr>
              <w:t>8</w:t>
            </w:r>
          </w:p>
        </w:tc>
        <w:tc>
          <w:tcPr>
            <w:tcW w:w="949" w:type="dxa"/>
          </w:tcPr>
          <w:p w14:paraId="0D0E5562" w14:textId="091E4264" w:rsidR="00960FDA" w:rsidRPr="00507DC5" w:rsidRDefault="00576CDE" w:rsidP="00721F14">
            <w:pPr>
              <w:autoSpaceDE w:val="0"/>
              <w:adjustRightInd w:val="0"/>
              <w:spacing w:after="0" w:line="240" w:lineRule="auto"/>
              <w:jc w:val="center"/>
              <w:rPr>
                <w:rFonts w:ascii="Arial" w:hAnsi="Arial" w:cs="Arial"/>
                <w:b/>
                <w:bCs/>
                <w:color w:val="auto"/>
              </w:rPr>
            </w:pPr>
            <w:r w:rsidRPr="00507DC5">
              <w:rPr>
                <w:rFonts w:ascii="Arial" w:hAnsi="Arial" w:cs="Arial"/>
                <w:b/>
                <w:bCs/>
                <w:color w:val="auto"/>
              </w:rPr>
              <w:t>23</w:t>
            </w:r>
          </w:p>
        </w:tc>
        <w:tc>
          <w:tcPr>
            <w:tcW w:w="1014" w:type="dxa"/>
          </w:tcPr>
          <w:p w14:paraId="32124268" w14:textId="11F3DF26" w:rsidR="00960FDA" w:rsidRPr="00062D70" w:rsidRDefault="00ED2E22" w:rsidP="00721F14">
            <w:pPr>
              <w:autoSpaceDE w:val="0"/>
              <w:autoSpaceDN w:val="0"/>
              <w:adjustRightInd w:val="0"/>
              <w:spacing w:after="0" w:line="240" w:lineRule="auto"/>
              <w:jc w:val="center"/>
              <w:rPr>
                <w:rFonts w:ascii="Arial" w:hAnsi="Arial" w:cs="Arial"/>
                <w:b/>
                <w:bCs/>
              </w:rPr>
            </w:pPr>
            <w:r>
              <w:rPr>
                <w:rFonts w:ascii="Arial" w:hAnsi="Arial" w:cs="Arial"/>
                <w:b/>
                <w:bCs/>
              </w:rPr>
              <w:t>6</w:t>
            </w:r>
          </w:p>
        </w:tc>
        <w:tc>
          <w:tcPr>
            <w:tcW w:w="1016" w:type="dxa"/>
          </w:tcPr>
          <w:p w14:paraId="018A64AE" w14:textId="0275E15C" w:rsidR="00ED2E22" w:rsidRPr="00062D70" w:rsidRDefault="00ED2E22" w:rsidP="00ED2E22">
            <w:pPr>
              <w:spacing w:line="240" w:lineRule="auto"/>
              <w:jc w:val="center"/>
              <w:rPr>
                <w:rFonts w:ascii="Arial" w:hAnsi="Arial" w:cs="Arial"/>
                <w:b/>
                <w:bCs/>
              </w:rPr>
            </w:pPr>
            <w:r>
              <w:rPr>
                <w:rFonts w:ascii="Arial" w:hAnsi="Arial" w:cs="Arial"/>
                <w:b/>
                <w:bCs/>
              </w:rPr>
              <w:t>1</w:t>
            </w:r>
          </w:p>
        </w:tc>
      </w:tr>
      <w:tr w:rsidR="00960FDA" w:rsidRPr="00062D70" w14:paraId="675370E5" w14:textId="77777777" w:rsidTr="00960FDA">
        <w:trPr>
          <w:trHeight w:val="421"/>
          <w:jc w:val="center"/>
        </w:trPr>
        <w:tc>
          <w:tcPr>
            <w:tcW w:w="1059" w:type="dxa"/>
            <w:shd w:val="clear" w:color="auto" w:fill="D9D9D9" w:themeFill="background1" w:themeFillShade="D9"/>
          </w:tcPr>
          <w:p w14:paraId="35F590EF" w14:textId="77777777" w:rsidR="00960FDA" w:rsidRPr="00062D70" w:rsidRDefault="00960FDA" w:rsidP="00721F14">
            <w:pPr>
              <w:autoSpaceDE w:val="0"/>
              <w:autoSpaceDN w:val="0"/>
              <w:adjustRightInd w:val="0"/>
              <w:spacing w:after="0" w:line="240" w:lineRule="auto"/>
              <w:rPr>
                <w:rFonts w:ascii="Arial" w:hAnsi="Arial" w:cs="Arial"/>
                <w:b/>
                <w:bCs/>
              </w:rPr>
            </w:pPr>
            <w:r w:rsidRPr="00062D70">
              <w:rPr>
                <w:rFonts w:ascii="Arial" w:hAnsi="Arial" w:cs="Arial"/>
                <w:b/>
                <w:bCs/>
              </w:rPr>
              <w:t>Year 8</w:t>
            </w:r>
          </w:p>
          <w:p w14:paraId="28C5E1D4" w14:textId="77777777" w:rsidR="00960FDA" w:rsidRPr="00062D70" w:rsidRDefault="00960FDA" w:rsidP="00721F14">
            <w:pPr>
              <w:autoSpaceDE w:val="0"/>
              <w:autoSpaceDN w:val="0"/>
              <w:adjustRightInd w:val="0"/>
              <w:spacing w:after="0" w:line="240" w:lineRule="auto"/>
              <w:rPr>
                <w:rFonts w:ascii="Arial" w:hAnsi="Arial" w:cs="Arial"/>
                <w:b/>
                <w:bCs/>
              </w:rPr>
            </w:pPr>
          </w:p>
        </w:tc>
        <w:tc>
          <w:tcPr>
            <w:tcW w:w="1150" w:type="dxa"/>
          </w:tcPr>
          <w:p w14:paraId="4A753843" w14:textId="11BF692E" w:rsidR="00960FDA" w:rsidRPr="00062D70" w:rsidRDefault="00615134" w:rsidP="00721F14">
            <w:pPr>
              <w:autoSpaceDE w:val="0"/>
              <w:autoSpaceDN w:val="0"/>
              <w:adjustRightInd w:val="0"/>
              <w:spacing w:after="0" w:line="240" w:lineRule="auto"/>
              <w:jc w:val="center"/>
              <w:rPr>
                <w:rFonts w:ascii="Arial" w:hAnsi="Arial" w:cs="Arial"/>
                <w:b/>
                <w:bCs/>
              </w:rPr>
            </w:pPr>
            <w:r>
              <w:rPr>
                <w:rFonts w:ascii="Arial" w:hAnsi="Arial" w:cs="Arial"/>
                <w:b/>
                <w:bCs/>
              </w:rPr>
              <w:t>87</w:t>
            </w:r>
          </w:p>
        </w:tc>
        <w:tc>
          <w:tcPr>
            <w:tcW w:w="1029" w:type="dxa"/>
          </w:tcPr>
          <w:p w14:paraId="0DFC4FAA" w14:textId="6FFC5C5A" w:rsidR="00960FDA" w:rsidRPr="00062D70" w:rsidRDefault="00615134" w:rsidP="00721F14">
            <w:pPr>
              <w:autoSpaceDE w:val="0"/>
              <w:autoSpaceDN w:val="0"/>
              <w:adjustRightInd w:val="0"/>
              <w:spacing w:after="0" w:line="240" w:lineRule="auto"/>
              <w:jc w:val="center"/>
              <w:rPr>
                <w:rFonts w:ascii="Arial" w:hAnsi="Arial" w:cs="Arial"/>
                <w:b/>
                <w:bCs/>
              </w:rPr>
            </w:pPr>
            <w:r>
              <w:rPr>
                <w:rFonts w:ascii="Arial" w:hAnsi="Arial" w:cs="Arial"/>
                <w:b/>
                <w:bCs/>
              </w:rPr>
              <w:t>35.66</w:t>
            </w:r>
          </w:p>
        </w:tc>
        <w:tc>
          <w:tcPr>
            <w:tcW w:w="1047" w:type="dxa"/>
          </w:tcPr>
          <w:p w14:paraId="2388E0C3" w14:textId="40F66BF1" w:rsidR="00960FDA" w:rsidRPr="00062D70" w:rsidRDefault="00615134" w:rsidP="00721F14">
            <w:pPr>
              <w:autoSpaceDE w:val="0"/>
              <w:autoSpaceDN w:val="0"/>
              <w:adjustRightInd w:val="0"/>
              <w:spacing w:after="0" w:line="240" w:lineRule="auto"/>
              <w:jc w:val="center"/>
              <w:rPr>
                <w:rFonts w:ascii="Arial" w:hAnsi="Arial" w:cs="Arial"/>
                <w:b/>
                <w:bCs/>
              </w:rPr>
            </w:pPr>
            <w:r>
              <w:rPr>
                <w:rFonts w:ascii="Arial" w:hAnsi="Arial" w:cs="Arial"/>
                <w:b/>
                <w:bCs/>
              </w:rPr>
              <w:t>51</w:t>
            </w:r>
          </w:p>
        </w:tc>
        <w:tc>
          <w:tcPr>
            <w:tcW w:w="1127" w:type="dxa"/>
          </w:tcPr>
          <w:p w14:paraId="55234E90" w14:textId="05C05838" w:rsidR="00960FDA" w:rsidRPr="00062D70" w:rsidRDefault="00615134" w:rsidP="00721F14">
            <w:pPr>
              <w:autoSpaceDE w:val="0"/>
              <w:autoSpaceDN w:val="0"/>
              <w:adjustRightInd w:val="0"/>
              <w:spacing w:after="0" w:line="240" w:lineRule="auto"/>
              <w:jc w:val="center"/>
              <w:rPr>
                <w:rFonts w:ascii="Arial" w:hAnsi="Arial" w:cs="Arial"/>
                <w:b/>
                <w:bCs/>
              </w:rPr>
            </w:pPr>
            <w:r>
              <w:rPr>
                <w:rFonts w:ascii="Arial" w:hAnsi="Arial" w:cs="Arial"/>
                <w:b/>
                <w:bCs/>
              </w:rPr>
              <w:t>36</w:t>
            </w:r>
          </w:p>
        </w:tc>
        <w:tc>
          <w:tcPr>
            <w:tcW w:w="1095" w:type="dxa"/>
          </w:tcPr>
          <w:p w14:paraId="4689CD38" w14:textId="3F04FEA9" w:rsidR="00960FDA" w:rsidRPr="00507DC5" w:rsidRDefault="00615134" w:rsidP="00721F14">
            <w:pPr>
              <w:autoSpaceDE w:val="0"/>
              <w:autoSpaceDN w:val="0"/>
              <w:adjustRightInd w:val="0"/>
              <w:spacing w:after="0" w:line="240" w:lineRule="auto"/>
              <w:jc w:val="center"/>
              <w:rPr>
                <w:rFonts w:ascii="Arial" w:hAnsi="Arial" w:cs="Arial"/>
                <w:b/>
                <w:bCs/>
                <w:color w:val="auto"/>
              </w:rPr>
            </w:pPr>
            <w:r w:rsidRPr="00507DC5">
              <w:rPr>
                <w:rFonts w:ascii="Arial" w:hAnsi="Arial" w:cs="Arial"/>
                <w:b/>
                <w:bCs/>
                <w:color w:val="auto"/>
              </w:rPr>
              <w:t>5</w:t>
            </w:r>
          </w:p>
        </w:tc>
        <w:tc>
          <w:tcPr>
            <w:tcW w:w="949" w:type="dxa"/>
          </w:tcPr>
          <w:p w14:paraId="4776C541" w14:textId="502D49CB" w:rsidR="00960FDA" w:rsidRPr="00507DC5" w:rsidRDefault="00615134" w:rsidP="00721F14">
            <w:pPr>
              <w:autoSpaceDE w:val="0"/>
              <w:adjustRightInd w:val="0"/>
              <w:spacing w:after="0" w:line="240" w:lineRule="auto"/>
              <w:jc w:val="center"/>
              <w:rPr>
                <w:rFonts w:ascii="Arial" w:hAnsi="Arial" w:cs="Arial"/>
                <w:b/>
                <w:bCs/>
                <w:color w:val="auto"/>
              </w:rPr>
            </w:pPr>
            <w:r w:rsidRPr="00507DC5">
              <w:rPr>
                <w:rFonts w:ascii="Arial" w:hAnsi="Arial" w:cs="Arial"/>
                <w:b/>
                <w:bCs/>
                <w:color w:val="auto"/>
              </w:rPr>
              <w:t>17</w:t>
            </w:r>
          </w:p>
        </w:tc>
        <w:tc>
          <w:tcPr>
            <w:tcW w:w="1014" w:type="dxa"/>
          </w:tcPr>
          <w:p w14:paraId="2F92AE31" w14:textId="7474DC44" w:rsidR="00960FDA" w:rsidRPr="00062D70" w:rsidRDefault="00615134" w:rsidP="00721F14">
            <w:pPr>
              <w:autoSpaceDE w:val="0"/>
              <w:autoSpaceDN w:val="0"/>
              <w:adjustRightInd w:val="0"/>
              <w:spacing w:after="0" w:line="240" w:lineRule="auto"/>
              <w:jc w:val="center"/>
              <w:rPr>
                <w:rFonts w:ascii="Arial" w:hAnsi="Arial" w:cs="Arial"/>
                <w:b/>
                <w:bCs/>
              </w:rPr>
            </w:pPr>
            <w:r>
              <w:rPr>
                <w:rFonts w:ascii="Arial" w:hAnsi="Arial" w:cs="Arial"/>
                <w:b/>
                <w:bCs/>
              </w:rPr>
              <w:t>5</w:t>
            </w:r>
          </w:p>
        </w:tc>
        <w:tc>
          <w:tcPr>
            <w:tcW w:w="1016" w:type="dxa"/>
          </w:tcPr>
          <w:p w14:paraId="29316744" w14:textId="42330FA5" w:rsidR="00960FDA" w:rsidRPr="00062D70" w:rsidRDefault="00615134" w:rsidP="00721F14">
            <w:pPr>
              <w:spacing w:line="240" w:lineRule="auto"/>
              <w:jc w:val="center"/>
              <w:rPr>
                <w:rFonts w:ascii="Arial" w:hAnsi="Arial" w:cs="Arial"/>
                <w:b/>
                <w:bCs/>
              </w:rPr>
            </w:pPr>
            <w:r>
              <w:rPr>
                <w:rFonts w:ascii="Arial" w:hAnsi="Arial" w:cs="Arial"/>
                <w:b/>
                <w:bCs/>
              </w:rPr>
              <w:t>1</w:t>
            </w:r>
          </w:p>
        </w:tc>
      </w:tr>
      <w:tr w:rsidR="00960FDA" w:rsidRPr="00062D70" w14:paraId="22DBF36A" w14:textId="77777777" w:rsidTr="00960FDA">
        <w:trPr>
          <w:trHeight w:val="421"/>
          <w:jc w:val="center"/>
        </w:trPr>
        <w:tc>
          <w:tcPr>
            <w:tcW w:w="1059" w:type="dxa"/>
            <w:shd w:val="clear" w:color="auto" w:fill="D9D9D9" w:themeFill="background1" w:themeFillShade="D9"/>
          </w:tcPr>
          <w:p w14:paraId="071EEF31" w14:textId="77777777" w:rsidR="00960FDA" w:rsidRPr="00062D70" w:rsidRDefault="00960FDA" w:rsidP="00721F14">
            <w:pPr>
              <w:autoSpaceDE w:val="0"/>
              <w:autoSpaceDN w:val="0"/>
              <w:adjustRightInd w:val="0"/>
              <w:spacing w:after="0" w:line="240" w:lineRule="auto"/>
              <w:rPr>
                <w:rFonts w:ascii="Arial" w:hAnsi="Arial" w:cs="Arial"/>
                <w:b/>
                <w:bCs/>
              </w:rPr>
            </w:pPr>
            <w:r w:rsidRPr="00062D70">
              <w:rPr>
                <w:rFonts w:ascii="Arial" w:hAnsi="Arial" w:cs="Arial"/>
                <w:b/>
                <w:bCs/>
              </w:rPr>
              <w:t>Year 9</w:t>
            </w:r>
          </w:p>
          <w:p w14:paraId="48CAD0CA" w14:textId="77777777" w:rsidR="00960FDA" w:rsidRPr="00062D70" w:rsidRDefault="00960FDA" w:rsidP="00721F14">
            <w:pPr>
              <w:autoSpaceDE w:val="0"/>
              <w:autoSpaceDN w:val="0"/>
              <w:adjustRightInd w:val="0"/>
              <w:spacing w:after="0" w:line="240" w:lineRule="auto"/>
              <w:rPr>
                <w:rFonts w:ascii="Arial" w:hAnsi="Arial" w:cs="Arial"/>
                <w:b/>
                <w:bCs/>
              </w:rPr>
            </w:pPr>
          </w:p>
        </w:tc>
        <w:tc>
          <w:tcPr>
            <w:tcW w:w="1150" w:type="dxa"/>
          </w:tcPr>
          <w:p w14:paraId="27B8B2BF" w14:textId="07B0B62B" w:rsidR="00960FDA" w:rsidRPr="00062D70" w:rsidRDefault="007D69DB" w:rsidP="00721F14">
            <w:pPr>
              <w:autoSpaceDE w:val="0"/>
              <w:autoSpaceDN w:val="0"/>
              <w:adjustRightInd w:val="0"/>
              <w:spacing w:after="0" w:line="240" w:lineRule="auto"/>
              <w:jc w:val="center"/>
              <w:rPr>
                <w:rFonts w:ascii="Arial" w:hAnsi="Arial" w:cs="Arial"/>
                <w:b/>
                <w:bCs/>
              </w:rPr>
            </w:pPr>
            <w:r>
              <w:rPr>
                <w:rFonts w:ascii="Arial" w:hAnsi="Arial" w:cs="Arial"/>
                <w:b/>
                <w:bCs/>
              </w:rPr>
              <w:t>88</w:t>
            </w:r>
          </w:p>
        </w:tc>
        <w:tc>
          <w:tcPr>
            <w:tcW w:w="1029" w:type="dxa"/>
          </w:tcPr>
          <w:p w14:paraId="73AE094C" w14:textId="5B5BA2D1" w:rsidR="00960FDA" w:rsidRPr="00062D70" w:rsidRDefault="007D69DB" w:rsidP="00721F14">
            <w:pPr>
              <w:autoSpaceDE w:val="0"/>
              <w:autoSpaceDN w:val="0"/>
              <w:adjustRightInd w:val="0"/>
              <w:spacing w:after="0" w:line="240" w:lineRule="auto"/>
              <w:jc w:val="center"/>
              <w:rPr>
                <w:rFonts w:ascii="Arial" w:hAnsi="Arial" w:cs="Arial"/>
                <w:b/>
                <w:bCs/>
              </w:rPr>
            </w:pPr>
            <w:r>
              <w:rPr>
                <w:rFonts w:ascii="Arial" w:hAnsi="Arial" w:cs="Arial"/>
                <w:b/>
                <w:bCs/>
              </w:rPr>
              <w:t>41.90</w:t>
            </w:r>
          </w:p>
        </w:tc>
        <w:tc>
          <w:tcPr>
            <w:tcW w:w="1047" w:type="dxa"/>
          </w:tcPr>
          <w:p w14:paraId="76A7A67C" w14:textId="4ADE8273" w:rsidR="00960FDA" w:rsidRPr="00062D70" w:rsidRDefault="007D69DB" w:rsidP="00721F14">
            <w:pPr>
              <w:autoSpaceDE w:val="0"/>
              <w:autoSpaceDN w:val="0"/>
              <w:adjustRightInd w:val="0"/>
              <w:spacing w:after="0" w:line="240" w:lineRule="auto"/>
              <w:jc w:val="center"/>
              <w:rPr>
                <w:rFonts w:ascii="Arial" w:hAnsi="Arial" w:cs="Arial"/>
                <w:b/>
                <w:bCs/>
              </w:rPr>
            </w:pPr>
            <w:r>
              <w:rPr>
                <w:rFonts w:ascii="Arial" w:hAnsi="Arial" w:cs="Arial"/>
                <w:b/>
                <w:bCs/>
              </w:rPr>
              <w:t>52</w:t>
            </w:r>
          </w:p>
        </w:tc>
        <w:tc>
          <w:tcPr>
            <w:tcW w:w="1127" w:type="dxa"/>
          </w:tcPr>
          <w:p w14:paraId="18AAE93F" w14:textId="783499B3" w:rsidR="00960FDA" w:rsidRPr="00062D70" w:rsidRDefault="007D69DB" w:rsidP="00721F14">
            <w:pPr>
              <w:autoSpaceDE w:val="0"/>
              <w:autoSpaceDN w:val="0"/>
              <w:adjustRightInd w:val="0"/>
              <w:spacing w:after="0" w:line="240" w:lineRule="auto"/>
              <w:jc w:val="center"/>
              <w:rPr>
                <w:rFonts w:ascii="Arial" w:hAnsi="Arial" w:cs="Arial"/>
                <w:b/>
                <w:bCs/>
              </w:rPr>
            </w:pPr>
            <w:r>
              <w:rPr>
                <w:rFonts w:ascii="Arial" w:hAnsi="Arial" w:cs="Arial"/>
                <w:b/>
                <w:bCs/>
              </w:rPr>
              <w:t>36</w:t>
            </w:r>
          </w:p>
        </w:tc>
        <w:tc>
          <w:tcPr>
            <w:tcW w:w="1095" w:type="dxa"/>
          </w:tcPr>
          <w:p w14:paraId="6FC2D5A6" w14:textId="14F94E62" w:rsidR="00960FDA" w:rsidRPr="00507DC5" w:rsidRDefault="007D69DB" w:rsidP="00721F14">
            <w:pPr>
              <w:autoSpaceDE w:val="0"/>
              <w:autoSpaceDN w:val="0"/>
              <w:adjustRightInd w:val="0"/>
              <w:spacing w:after="0" w:line="240" w:lineRule="auto"/>
              <w:jc w:val="center"/>
              <w:rPr>
                <w:rFonts w:ascii="Arial" w:hAnsi="Arial" w:cs="Arial"/>
                <w:b/>
                <w:bCs/>
                <w:color w:val="auto"/>
              </w:rPr>
            </w:pPr>
            <w:r w:rsidRPr="00507DC5">
              <w:rPr>
                <w:rFonts w:ascii="Arial" w:hAnsi="Arial" w:cs="Arial"/>
                <w:b/>
                <w:bCs/>
                <w:color w:val="auto"/>
              </w:rPr>
              <w:t>1</w:t>
            </w:r>
          </w:p>
        </w:tc>
        <w:tc>
          <w:tcPr>
            <w:tcW w:w="949" w:type="dxa"/>
          </w:tcPr>
          <w:p w14:paraId="118BD18B" w14:textId="3DC0FDA9" w:rsidR="00960FDA" w:rsidRPr="00507DC5" w:rsidRDefault="007D69DB" w:rsidP="00721F14">
            <w:pPr>
              <w:autoSpaceDE w:val="0"/>
              <w:adjustRightInd w:val="0"/>
              <w:spacing w:after="0" w:line="240" w:lineRule="auto"/>
              <w:jc w:val="center"/>
              <w:rPr>
                <w:rFonts w:ascii="Arial" w:hAnsi="Arial" w:cs="Arial"/>
                <w:b/>
                <w:bCs/>
                <w:color w:val="auto"/>
              </w:rPr>
            </w:pPr>
            <w:r w:rsidRPr="00507DC5">
              <w:rPr>
                <w:rFonts w:ascii="Arial" w:hAnsi="Arial" w:cs="Arial"/>
                <w:b/>
                <w:bCs/>
                <w:color w:val="auto"/>
              </w:rPr>
              <w:t>35</w:t>
            </w:r>
          </w:p>
        </w:tc>
        <w:tc>
          <w:tcPr>
            <w:tcW w:w="1014" w:type="dxa"/>
          </w:tcPr>
          <w:p w14:paraId="208B3140" w14:textId="2FD01A95" w:rsidR="00960FDA" w:rsidRPr="00062D70" w:rsidRDefault="007D69DB" w:rsidP="00721F14">
            <w:pPr>
              <w:autoSpaceDE w:val="0"/>
              <w:autoSpaceDN w:val="0"/>
              <w:adjustRightInd w:val="0"/>
              <w:spacing w:after="0" w:line="240" w:lineRule="auto"/>
              <w:jc w:val="center"/>
              <w:rPr>
                <w:rFonts w:ascii="Arial" w:hAnsi="Arial" w:cs="Arial"/>
                <w:b/>
                <w:bCs/>
              </w:rPr>
            </w:pPr>
            <w:r>
              <w:rPr>
                <w:rFonts w:ascii="Arial" w:hAnsi="Arial" w:cs="Arial"/>
                <w:b/>
                <w:bCs/>
              </w:rPr>
              <w:t>2</w:t>
            </w:r>
          </w:p>
        </w:tc>
        <w:tc>
          <w:tcPr>
            <w:tcW w:w="1016" w:type="dxa"/>
          </w:tcPr>
          <w:p w14:paraId="16ED261D" w14:textId="3BEBF8FF" w:rsidR="00960FDA" w:rsidRPr="00062D70" w:rsidRDefault="00615134" w:rsidP="00721F14">
            <w:pPr>
              <w:spacing w:line="240" w:lineRule="auto"/>
              <w:jc w:val="center"/>
              <w:rPr>
                <w:rFonts w:ascii="Arial" w:hAnsi="Arial" w:cs="Arial"/>
                <w:b/>
                <w:bCs/>
              </w:rPr>
            </w:pPr>
            <w:r>
              <w:rPr>
                <w:rFonts w:ascii="Arial" w:hAnsi="Arial" w:cs="Arial"/>
                <w:b/>
                <w:bCs/>
              </w:rPr>
              <w:t>1</w:t>
            </w:r>
          </w:p>
        </w:tc>
      </w:tr>
      <w:tr w:rsidR="00960FDA" w:rsidRPr="00062D70" w14:paraId="6953F1F6" w14:textId="77777777" w:rsidTr="00960FDA">
        <w:trPr>
          <w:trHeight w:val="421"/>
          <w:jc w:val="center"/>
        </w:trPr>
        <w:tc>
          <w:tcPr>
            <w:tcW w:w="1059" w:type="dxa"/>
            <w:shd w:val="clear" w:color="auto" w:fill="D9D9D9" w:themeFill="background1" w:themeFillShade="D9"/>
          </w:tcPr>
          <w:p w14:paraId="6B15EAEB" w14:textId="77777777" w:rsidR="00960FDA" w:rsidRPr="00062D70" w:rsidRDefault="00960FDA" w:rsidP="00721F14">
            <w:pPr>
              <w:autoSpaceDE w:val="0"/>
              <w:autoSpaceDN w:val="0"/>
              <w:adjustRightInd w:val="0"/>
              <w:spacing w:after="0" w:line="240" w:lineRule="auto"/>
              <w:rPr>
                <w:rFonts w:ascii="Arial" w:hAnsi="Arial" w:cs="Arial"/>
                <w:b/>
                <w:bCs/>
              </w:rPr>
            </w:pPr>
            <w:r w:rsidRPr="00062D70">
              <w:rPr>
                <w:rFonts w:ascii="Arial" w:hAnsi="Arial" w:cs="Arial"/>
                <w:b/>
                <w:bCs/>
              </w:rPr>
              <w:t>Year 10</w:t>
            </w:r>
          </w:p>
          <w:p w14:paraId="42E2292A" w14:textId="77777777" w:rsidR="00960FDA" w:rsidRPr="00062D70" w:rsidRDefault="00960FDA" w:rsidP="00721F14">
            <w:pPr>
              <w:autoSpaceDE w:val="0"/>
              <w:autoSpaceDN w:val="0"/>
              <w:adjustRightInd w:val="0"/>
              <w:spacing w:after="0" w:line="240" w:lineRule="auto"/>
              <w:rPr>
                <w:rFonts w:ascii="Arial" w:hAnsi="Arial" w:cs="Arial"/>
                <w:b/>
                <w:bCs/>
              </w:rPr>
            </w:pPr>
          </w:p>
        </w:tc>
        <w:tc>
          <w:tcPr>
            <w:tcW w:w="1150" w:type="dxa"/>
          </w:tcPr>
          <w:p w14:paraId="79520A65" w14:textId="46133FE4" w:rsidR="00960FDA" w:rsidRPr="00062D70" w:rsidRDefault="000656D8" w:rsidP="00721F14">
            <w:pPr>
              <w:autoSpaceDE w:val="0"/>
              <w:autoSpaceDN w:val="0"/>
              <w:adjustRightInd w:val="0"/>
              <w:spacing w:after="0" w:line="240" w:lineRule="auto"/>
              <w:jc w:val="center"/>
              <w:rPr>
                <w:rFonts w:ascii="Arial" w:hAnsi="Arial" w:cs="Arial"/>
                <w:b/>
                <w:bCs/>
              </w:rPr>
            </w:pPr>
            <w:r>
              <w:rPr>
                <w:rFonts w:ascii="Arial" w:hAnsi="Arial" w:cs="Arial"/>
                <w:b/>
                <w:bCs/>
              </w:rPr>
              <w:t>85</w:t>
            </w:r>
          </w:p>
        </w:tc>
        <w:tc>
          <w:tcPr>
            <w:tcW w:w="1029" w:type="dxa"/>
          </w:tcPr>
          <w:p w14:paraId="5B65B23C" w14:textId="3EDCF13B" w:rsidR="00960FDA" w:rsidRPr="00062D70" w:rsidRDefault="000656D8" w:rsidP="00721F14">
            <w:pPr>
              <w:autoSpaceDE w:val="0"/>
              <w:autoSpaceDN w:val="0"/>
              <w:adjustRightInd w:val="0"/>
              <w:spacing w:after="0" w:line="240" w:lineRule="auto"/>
              <w:jc w:val="center"/>
              <w:rPr>
                <w:rFonts w:ascii="Arial" w:hAnsi="Arial" w:cs="Arial"/>
                <w:b/>
                <w:bCs/>
              </w:rPr>
            </w:pPr>
            <w:r>
              <w:rPr>
                <w:rFonts w:ascii="Arial" w:hAnsi="Arial" w:cs="Arial"/>
                <w:b/>
                <w:bCs/>
              </w:rPr>
              <w:t>38.81</w:t>
            </w:r>
          </w:p>
        </w:tc>
        <w:tc>
          <w:tcPr>
            <w:tcW w:w="1047" w:type="dxa"/>
          </w:tcPr>
          <w:p w14:paraId="67739737" w14:textId="73850B03" w:rsidR="00960FDA" w:rsidRPr="00062D70" w:rsidRDefault="000656D8" w:rsidP="00721F14">
            <w:pPr>
              <w:autoSpaceDE w:val="0"/>
              <w:autoSpaceDN w:val="0"/>
              <w:adjustRightInd w:val="0"/>
              <w:spacing w:after="0" w:line="240" w:lineRule="auto"/>
              <w:jc w:val="center"/>
              <w:rPr>
                <w:rFonts w:ascii="Arial" w:hAnsi="Arial" w:cs="Arial"/>
                <w:b/>
                <w:bCs/>
              </w:rPr>
            </w:pPr>
            <w:r>
              <w:rPr>
                <w:rFonts w:ascii="Arial" w:hAnsi="Arial" w:cs="Arial"/>
                <w:b/>
                <w:bCs/>
              </w:rPr>
              <w:t>43</w:t>
            </w:r>
          </w:p>
        </w:tc>
        <w:tc>
          <w:tcPr>
            <w:tcW w:w="1127" w:type="dxa"/>
          </w:tcPr>
          <w:p w14:paraId="587CF6A4" w14:textId="0D6292DD" w:rsidR="00960FDA" w:rsidRPr="00062D70" w:rsidRDefault="000656D8" w:rsidP="00721F14">
            <w:pPr>
              <w:autoSpaceDE w:val="0"/>
              <w:autoSpaceDN w:val="0"/>
              <w:adjustRightInd w:val="0"/>
              <w:spacing w:after="0" w:line="240" w:lineRule="auto"/>
              <w:jc w:val="center"/>
              <w:rPr>
                <w:rFonts w:ascii="Arial" w:hAnsi="Arial" w:cs="Arial"/>
                <w:b/>
                <w:bCs/>
              </w:rPr>
            </w:pPr>
            <w:r>
              <w:rPr>
                <w:rFonts w:ascii="Arial" w:hAnsi="Arial" w:cs="Arial"/>
                <w:b/>
                <w:bCs/>
              </w:rPr>
              <w:t>42</w:t>
            </w:r>
          </w:p>
        </w:tc>
        <w:tc>
          <w:tcPr>
            <w:tcW w:w="1095" w:type="dxa"/>
          </w:tcPr>
          <w:p w14:paraId="4D0ECD5D" w14:textId="19A8CE80" w:rsidR="00960FDA" w:rsidRPr="00507DC5" w:rsidRDefault="000656D8" w:rsidP="00721F14">
            <w:pPr>
              <w:autoSpaceDE w:val="0"/>
              <w:autoSpaceDN w:val="0"/>
              <w:adjustRightInd w:val="0"/>
              <w:spacing w:after="0" w:line="240" w:lineRule="auto"/>
              <w:jc w:val="center"/>
              <w:rPr>
                <w:rFonts w:ascii="Arial" w:hAnsi="Arial" w:cs="Arial"/>
                <w:b/>
                <w:bCs/>
                <w:color w:val="auto"/>
              </w:rPr>
            </w:pPr>
            <w:r w:rsidRPr="00507DC5">
              <w:rPr>
                <w:rFonts w:ascii="Arial" w:hAnsi="Arial" w:cs="Arial"/>
                <w:b/>
                <w:bCs/>
                <w:color w:val="auto"/>
              </w:rPr>
              <w:t>6</w:t>
            </w:r>
          </w:p>
        </w:tc>
        <w:tc>
          <w:tcPr>
            <w:tcW w:w="949" w:type="dxa"/>
          </w:tcPr>
          <w:p w14:paraId="5FB203CD" w14:textId="2C75D955" w:rsidR="00960FDA" w:rsidRPr="00507DC5" w:rsidRDefault="000656D8" w:rsidP="00721F14">
            <w:pPr>
              <w:autoSpaceDE w:val="0"/>
              <w:adjustRightInd w:val="0"/>
              <w:spacing w:after="0" w:line="240" w:lineRule="auto"/>
              <w:jc w:val="center"/>
              <w:rPr>
                <w:rFonts w:ascii="Arial" w:hAnsi="Arial" w:cs="Arial"/>
                <w:b/>
                <w:bCs/>
                <w:color w:val="auto"/>
              </w:rPr>
            </w:pPr>
            <w:r w:rsidRPr="00507DC5">
              <w:rPr>
                <w:rFonts w:ascii="Arial" w:hAnsi="Arial" w:cs="Arial"/>
                <w:b/>
                <w:bCs/>
                <w:color w:val="auto"/>
              </w:rPr>
              <w:t>11</w:t>
            </w:r>
          </w:p>
        </w:tc>
        <w:tc>
          <w:tcPr>
            <w:tcW w:w="1014" w:type="dxa"/>
          </w:tcPr>
          <w:p w14:paraId="4BE9562E" w14:textId="5D9885F7" w:rsidR="00960FDA" w:rsidRPr="00062D70" w:rsidRDefault="007D69DB" w:rsidP="00721F14">
            <w:pPr>
              <w:autoSpaceDE w:val="0"/>
              <w:autoSpaceDN w:val="0"/>
              <w:adjustRightInd w:val="0"/>
              <w:spacing w:after="0" w:line="240" w:lineRule="auto"/>
              <w:jc w:val="center"/>
              <w:rPr>
                <w:rFonts w:ascii="Arial" w:hAnsi="Arial" w:cs="Arial"/>
                <w:b/>
                <w:bCs/>
              </w:rPr>
            </w:pPr>
            <w:r>
              <w:rPr>
                <w:rFonts w:ascii="Arial" w:hAnsi="Arial" w:cs="Arial"/>
                <w:b/>
                <w:bCs/>
              </w:rPr>
              <w:t>4</w:t>
            </w:r>
          </w:p>
        </w:tc>
        <w:tc>
          <w:tcPr>
            <w:tcW w:w="1016" w:type="dxa"/>
          </w:tcPr>
          <w:p w14:paraId="519C040B" w14:textId="66BC101F" w:rsidR="00960FDA" w:rsidRPr="00062D70" w:rsidRDefault="00615134" w:rsidP="00721F14">
            <w:pPr>
              <w:spacing w:line="240" w:lineRule="auto"/>
              <w:jc w:val="center"/>
              <w:rPr>
                <w:rFonts w:ascii="Arial" w:hAnsi="Arial" w:cs="Arial"/>
                <w:b/>
                <w:bCs/>
              </w:rPr>
            </w:pPr>
            <w:r>
              <w:rPr>
                <w:rFonts w:ascii="Arial" w:hAnsi="Arial" w:cs="Arial"/>
                <w:b/>
                <w:bCs/>
              </w:rPr>
              <w:t>2</w:t>
            </w:r>
          </w:p>
        </w:tc>
      </w:tr>
      <w:tr w:rsidR="00960FDA" w:rsidRPr="00062D70" w14:paraId="2D92BE75" w14:textId="77777777" w:rsidTr="00960FDA">
        <w:trPr>
          <w:trHeight w:val="421"/>
          <w:jc w:val="center"/>
        </w:trPr>
        <w:tc>
          <w:tcPr>
            <w:tcW w:w="1059" w:type="dxa"/>
            <w:shd w:val="clear" w:color="auto" w:fill="D9D9D9" w:themeFill="background1" w:themeFillShade="D9"/>
          </w:tcPr>
          <w:p w14:paraId="54764DA5" w14:textId="77777777" w:rsidR="00960FDA" w:rsidRPr="00062D70" w:rsidRDefault="00960FDA" w:rsidP="00721F14">
            <w:pPr>
              <w:autoSpaceDE w:val="0"/>
              <w:autoSpaceDN w:val="0"/>
              <w:adjustRightInd w:val="0"/>
              <w:spacing w:after="0" w:line="240" w:lineRule="auto"/>
              <w:rPr>
                <w:rFonts w:ascii="Arial" w:hAnsi="Arial" w:cs="Arial"/>
                <w:b/>
                <w:bCs/>
              </w:rPr>
            </w:pPr>
            <w:r w:rsidRPr="00062D70">
              <w:rPr>
                <w:rFonts w:ascii="Arial" w:hAnsi="Arial" w:cs="Arial"/>
                <w:b/>
                <w:bCs/>
              </w:rPr>
              <w:t>Year 11</w:t>
            </w:r>
          </w:p>
          <w:p w14:paraId="598DA6A1" w14:textId="77777777" w:rsidR="00960FDA" w:rsidRPr="00062D70" w:rsidRDefault="00960FDA" w:rsidP="00721F14">
            <w:pPr>
              <w:autoSpaceDE w:val="0"/>
              <w:autoSpaceDN w:val="0"/>
              <w:adjustRightInd w:val="0"/>
              <w:spacing w:after="0" w:line="240" w:lineRule="auto"/>
              <w:rPr>
                <w:rFonts w:ascii="Arial" w:hAnsi="Arial" w:cs="Arial"/>
                <w:b/>
                <w:bCs/>
              </w:rPr>
            </w:pPr>
          </w:p>
        </w:tc>
        <w:tc>
          <w:tcPr>
            <w:tcW w:w="1150" w:type="dxa"/>
          </w:tcPr>
          <w:p w14:paraId="2A3E59B6" w14:textId="10464597" w:rsidR="00960FDA" w:rsidRPr="00062D70" w:rsidRDefault="000656D8" w:rsidP="00721F14">
            <w:pPr>
              <w:autoSpaceDE w:val="0"/>
              <w:autoSpaceDN w:val="0"/>
              <w:adjustRightInd w:val="0"/>
              <w:spacing w:after="0" w:line="240" w:lineRule="auto"/>
              <w:jc w:val="center"/>
              <w:rPr>
                <w:rFonts w:ascii="Arial" w:hAnsi="Arial" w:cs="Arial"/>
                <w:b/>
                <w:bCs/>
              </w:rPr>
            </w:pPr>
            <w:r>
              <w:rPr>
                <w:rFonts w:ascii="Arial" w:hAnsi="Arial" w:cs="Arial"/>
                <w:b/>
                <w:bCs/>
              </w:rPr>
              <w:t>64</w:t>
            </w:r>
          </w:p>
        </w:tc>
        <w:tc>
          <w:tcPr>
            <w:tcW w:w="1029" w:type="dxa"/>
          </w:tcPr>
          <w:p w14:paraId="3504722F" w14:textId="5BB60ABE" w:rsidR="00960FDA" w:rsidRPr="00062D70" w:rsidRDefault="000656D8" w:rsidP="00721F14">
            <w:pPr>
              <w:autoSpaceDE w:val="0"/>
              <w:autoSpaceDN w:val="0"/>
              <w:adjustRightInd w:val="0"/>
              <w:spacing w:after="0" w:line="240" w:lineRule="auto"/>
              <w:jc w:val="center"/>
              <w:rPr>
                <w:rFonts w:ascii="Arial" w:hAnsi="Arial" w:cs="Arial"/>
                <w:b/>
                <w:bCs/>
              </w:rPr>
            </w:pPr>
            <w:r>
              <w:rPr>
                <w:rFonts w:ascii="Arial" w:hAnsi="Arial" w:cs="Arial"/>
                <w:b/>
                <w:bCs/>
              </w:rPr>
              <w:t>31.53</w:t>
            </w:r>
          </w:p>
        </w:tc>
        <w:tc>
          <w:tcPr>
            <w:tcW w:w="1047" w:type="dxa"/>
          </w:tcPr>
          <w:p w14:paraId="069D5177" w14:textId="6F0A136A" w:rsidR="00960FDA" w:rsidRPr="00062D70" w:rsidRDefault="00441CF2" w:rsidP="00721F14">
            <w:pPr>
              <w:autoSpaceDE w:val="0"/>
              <w:autoSpaceDN w:val="0"/>
              <w:adjustRightInd w:val="0"/>
              <w:spacing w:after="0" w:line="240" w:lineRule="auto"/>
              <w:jc w:val="center"/>
              <w:rPr>
                <w:rFonts w:ascii="Arial" w:hAnsi="Arial" w:cs="Arial"/>
                <w:b/>
                <w:bCs/>
              </w:rPr>
            </w:pPr>
            <w:r>
              <w:rPr>
                <w:rFonts w:ascii="Arial" w:hAnsi="Arial" w:cs="Arial"/>
                <w:b/>
                <w:bCs/>
              </w:rPr>
              <w:t>30</w:t>
            </w:r>
          </w:p>
        </w:tc>
        <w:tc>
          <w:tcPr>
            <w:tcW w:w="1127" w:type="dxa"/>
          </w:tcPr>
          <w:p w14:paraId="5C4AF448" w14:textId="06E0825F" w:rsidR="00960FDA" w:rsidRPr="00062D70" w:rsidRDefault="00441CF2" w:rsidP="00721F14">
            <w:pPr>
              <w:autoSpaceDE w:val="0"/>
              <w:autoSpaceDN w:val="0"/>
              <w:adjustRightInd w:val="0"/>
              <w:spacing w:after="0" w:line="240" w:lineRule="auto"/>
              <w:jc w:val="center"/>
              <w:rPr>
                <w:rFonts w:ascii="Arial" w:hAnsi="Arial" w:cs="Arial"/>
                <w:b/>
                <w:bCs/>
              </w:rPr>
            </w:pPr>
            <w:r>
              <w:rPr>
                <w:rFonts w:ascii="Arial" w:hAnsi="Arial" w:cs="Arial"/>
                <w:b/>
                <w:bCs/>
              </w:rPr>
              <w:t>34</w:t>
            </w:r>
          </w:p>
        </w:tc>
        <w:tc>
          <w:tcPr>
            <w:tcW w:w="1095" w:type="dxa"/>
          </w:tcPr>
          <w:p w14:paraId="428A54E2" w14:textId="6DF6366C" w:rsidR="00960FDA" w:rsidRPr="00507DC5" w:rsidRDefault="00441CF2" w:rsidP="00721F14">
            <w:pPr>
              <w:autoSpaceDE w:val="0"/>
              <w:autoSpaceDN w:val="0"/>
              <w:adjustRightInd w:val="0"/>
              <w:spacing w:after="0" w:line="240" w:lineRule="auto"/>
              <w:jc w:val="center"/>
              <w:rPr>
                <w:rFonts w:ascii="Arial" w:hAnsi="Arial" w:cs="Arial"/>
                <w:b/>
                <w:bCs/>
                <w:color w:val="auto"/>
              </w:rPr>
            </w:pPr>
            <w:r w:rsidRPr="00507DC5">
              <w:rPr>
                <w:rFonts w:ascii="Arial" w:hAnsi="Arial" w:cs="Arial"/>
                <w:b/>
                <w:bCs/>
                <w:color w:val="auto"/>
              </w:rPr>
              <w:t>6</w:t>
            </w:r>
          </w:p>
        </w:tc>
        <w:tc>
          <w:tcPr>
            <w:tcW w:w="949" w:type="dxa"/>
          </w:tcPr>
          <w:p w14:paraId="3DE4B01D" w14:textId="2F86F75F" w:rsidR="00960FDA" w:rsidRPr="00507DC5" w:rsidRDefault="00441CF2" w:rsidP="00721F14">
            <w:pPr>
              <w:autoSpaceDE w:val="0"/>
              <w:adjustRightInd w:val="0"/>
              <w:spacing w:after="0" w:line="240" w:lineRule="auto"/>
              <w:jc w:val="center"/>
              <w:rPr>
                <w:rFonts w:ascii="Arial" w:hAnsi="Arial" w:cs="Arial"/>
                <w:b/>
                <w:bCs/>
                <w:color w:val="auto"/>
              </w:rPr>
            </w:pPr>
            <w:r w:rsidRPr="00507DC5">
              <w:rPr>
                <w:rFonts w:ascii="Arial" w:hAnsi="Arial" w:cs="Arial"/>
                <w:b/>
                <w:bCs/>
                <w:color w:val="auto"/>
              </w:rPr>
              <w:t>12</w:t>
            </w:r>
          </w:p>
        </w:tc>
        <w:tc>
          <w:tcPr>
            <w:tcW w:w="1014" w:type="dxa"/>
          </w:tcPr>
          <w:p w14:paraId="4FE73D10" w14:textId="3F584BA4" w:rsidR="00960FDA" w:rsidRPr="00062D70" w:rsidRDefault="007D69DB" w:rsidP="00721F14">
            <w:pPr>
              <w:autoSpaceDE w:val="0"/>
              <w:autoSpaceDN w:val="0"/>
              <w:adjustRightInd w:val="0"/>
              <w:spacing w:after="0" w:line="240" w:lineRule="auto"/>
              <w:jc w:val="center"/>
              <w:rPr>
                <w:rFonts w:ascii="Arial" w:hAnsi="Arial" w:cs="Arial"/>
                <w:b/>
                <w:bCs/>
              </w:rPr>
            </w:pPr>
            <w:r>
              <w:rPr>
                <w:rFonts w:ascii="Arial" w:hAnsi="Arial" w:cs="Arial"/>
                <w:b/>
                <w:bCs/>
              </w:rPr>
              <w:t>4</w:t>
            </w:r>
          </w:p>
        </w:tc>
        <w:tc>
          <w:tcPr>
            <w:tcW w:w="1016" w:type="dxa"/>
          </w:tcPr>
          <w:p w14:paraId="751E7C48" w14:textId="57C36C06" w:rsidR="00960FDA" w:rsidRPr="00062D70" w:rsidRDefault="00615134" w:rsidP="00721F14">
            <w:pPr>
              <w:spacing w:line="240" w:lineRule="auto"/>
              <w:jc w:val="center"/>
              <w:rPr>
                <w:rFonts w:ascii="Arial" w:hAnsi="Arial" w:cs="Arial"/>
                <w:b/>
                <w:bCs/>
              </w:rPr>
            </w:pPr>
            <w:r>
              <w:rPr>
                <w:rFonts w:ascii="Arial" w:hAnsi="Arial" w:cs="Arial"/>
                <w:b/>
                <w:bCs/>
              </w:rPr>
              <w:t>2</w:t>
            </w:r>
          </w:p>
        </w:tc>
      </w:tr>
      <w:tr w:rsidR="00960FDA" w:rsidRPr="00062D70" w14:paraId="3719FB75" w14:textId="77777777" w:rsidTr="00960FDA">
        <w:trPr>
          <w:trHeight w:val="421"/>
          <w:jc w:val="center"/>
        </w:trPr>
        <w:tc>
          <w:tcPr>
            <w:tcW w:w="1059" w:type="dxa"/>
            <w:shd w:val="clear" w:color="auto" w:fill="D9D9D9" w:themeFill="background1" w:themeFillShade="D9"/>
          </w:tcPr>
          <w:p w14:paraId="71A16259" w14:textId="77777777" w:rsidR="00960FDA" w:rsidRPr="00062D70" w:rsidRDefault="00960FDA" w:rsidP="00721F14">
            <w:pPr>
              <w:autoSpaceDE w:val="0"/>
              <w:autoSpaceDN w:val="0"/>
              <w:adjustRightInd w:val="0"/>
              <w:spacing w:after="0" w:line="240" w:lineRule="auto"/>
              <w:rPr>
                <w:rFonts w:ascii="Arial" w:hAnsi="Arial" w:cs="Arial"/>
                <w:b/>
                <w:bCs/>
              </w:rPr>
            </w:pPr>
            <w:r w:rsidRPr="00062D70">
              <w:rPr>
                <w:rFonts w:ascii="Arial" w:hAnsi="Arial" w:cs="Arial"/>
                <w:b/>
                <w:bCs/>
              </w:rPr>
              <w:t>Total</w:t>
            </w:r>
          </w:p>
          <w:p w14:paraId="5746D3FC" w14:textId="77777777" w:rsidR="00960FDA" w:rsidRPr="00062D70" w:rsidRDefault="00960FDA" w:rsidP="00721F14">
            <w:pPr>
              <w:autoSpaceDE w:val="0"/>
              <w:autoSpaceDN w:val="0"/>
              <w:adjustRightInd w:val="0"/>
              <w:spacing w:after="0" w:line="240" w:lineRule="auto"/>
              <w:rPr>
                <w:rFonts w:ascii="Arial" w:hAnsi="Arial" w:cs="Arial"/>
                <w:b/>
                <w:bCs/>
              </w:rPr>
            </w:pPr>
          </w:p>
        </w:tc>
        <w:tc>
          <w:tcPr>
            <w:tcW w:w="1150" w:type="dxa"/>
          </w:tcPr>
          <w:p w14:paraId="533F5ADD" w14:textId="5F4E9C2B" w:rsidR="00960FDA" w:rsidRPr="00062D70" w:rsidRDefault="00615134" w:rsidP="00721F14">
            <w:pPr>
              <w:autoSpaceDE w:val="0"/>
              <w:autoSpaceDN w:val="0"/>
              <w:adjustRightInd w:val="0"/>
              <w:spacing w:after="0" w:line="240" w:lineRule="auto"/>
              <w:jc w:val="center"/>
              <w:rPr>
                <w:rFonts w:ascii="Arial" w:hAnsi="Arial" w:cs="Arial"/>
                <w:b/>
                <w:bCs/>
              </w:rPr>
            </w:pPr>
            <w:r>
              <w:rPr>
                <w:rFonts w:ascii="Arial" w:hAnsi="Arial" w:cs="Arial"/>
                <w:b/>
                <w:bCs/>
              </w:rPr>
              <w:t>405</w:t>
            </w:r>
          </w:p>
        </w:tc>
        <w:tc>
          <w:tcPr>
            <w:tcW w:w="1029" w:type="dxa"/>
          </w:tcPr>
          <w:p w14:paraId="408DB4D7" w14:textId="3D1F0D9C" w:rsidR="00960FDA" w:rsidRPr="00062D70" w:rsidRDefault="00615134" w:rsidP="00721F14">
            <w:pPr>
              <w:autoSpaceDE w:val="0"/>
              <w:autoSpaceDN w:val="0"/>
              <w:adjustRightInd w:val="0"/>
              <w:spacing w:after="0" w:line="240" w:lineRule="auto"/>
              <w:jc w:val="center"/>
              <w:rPr>
                <w:rFonts w:ascii="Arial" w:hAnsi="Arial" w:cs="Arial"/>
                <w:b/>
                <w:bCs/>
              </w:rPr>
            </w:pPr>
            <w:r>
              <w:rPr>
                <w:rFonts w:ascii="Arial" w:hAnsi="Arial" w:cs="Arial"/>
                <w:b/>
                <w:bCs/>
              </w:rPr>
              <w:t>35.53</w:t>
            </w:r>
          </w:p>
        </w:tc>
        <w:tc>
          <w:tcPr>
            <w:tcW w:w="1047" w:type="dxa"/>
          </w:tcPr>
          <w:p w14:paraId="175F6CCE" w14:textId="2A5C02B3" w:rsidR="00960FDA" w:rsidRPr="00062D70" w:rsidRDefault="00441CF2" w:rsidP="00721F14">
            <w:pPr>
              <w:autoSpaceDE w:val="0"/>
              <w:autoSpaceDN w:val="0"/>
              <w:adjustRightInd w:val="0"/>
              <w:spacing w:after="0" w:line="240" w:lineRule="auto"/>
              <w:jc w:val="center"/>
              <w:rPr>
                <w:rFonts w:ascii="Arial" w:hAnsi="Arial" w:cs="Arial"/>
                <w:b/>
                <w:bCs/>
              </w:rPr>
            </w:pPr>
            <w:r>
              <w:rPr>
                <w:rFonts w:ascii="Arial" w:hAnsi="Arial" w:cs="Arial"/>
                <w:b/>
                <w:bCs/>
              </w:rPr>
              <w:t>210</w:t>
            </w:r>
          </w:p>
        </w:tc>
        <w:tc>
          <w:tcPr>
            <w:tcW w:w="1127" w:type="dxa"/>
          </w:tcPr>
          <w:p w14:paraId="42DDE65D" w14:textId="517AA6FA" w:rsidR="00960FDA" w:rsidRPr="00062D70" w:rsidRDefault="00441CF2" w:rsidP="00721F14">
            <w:pPr>
              <w:autoSpaceDE w:val="0"/>
              <w:autoSpaceDN w:val="0"/>
              <w:adjustRightInd w:val="0"/>
              <w:spacing w:after="0" w:line="240" w:lineRule="auto"/>
              <w:jc w:val="center"/>
              <w:rPr>
                <w:rFonts w:ascii="Arial" w:hAnsi="Arial" w:cs="Arial"/>
                <w:b/>
                <w:bCs/>
              </w:rPr>
            </w:pPr>
            <w:r>
              <w:rPr>
                <w:rFonts w:ascii="Arial" w:hAnsi="Arial" w:cs="Arial"/>
                <w:b/>
                <w:bCs/>
              </w:rPr>
              <w:t>195</w:t>
            </w:r>
          </w:p>
        </w:tc>
        <w:tc>
          <w:tcPr>
            <w:tcW w:w="1095" w:type="dxa"/>
          </w:tcPr>
          <w:p w14:paraId="55DB5B38" w14:textId="54F961A0" w:rsidR="00960FDA" w:rsidRPr="00507DC5" w:rsidRDefault="00441CF2" w:rsidP="00721F14">
            <w:pPr>
              <w:autoSpaceDE w:val="0"/>
              <w:autoSpaceDN w:val="0"/>
              <w:adjustRightInd w:val="0"/>
              <w:spacing w:after="0" w:line="240" w:lineRule="auto"/>
              <w:jc w:val="center"/>
              <w:rPr>
                <w:rFonts w:ascii="Arial" w:hAnsi="Arial" w:cs="Arial"/>
                <w:b/>
                <w:bCs/>
                <w:color w:val="auto"/>
              </w:rPr>
            </w:pPr>
            <w:r w:rsidRPr="00507DC5">
              <w:rPr>
                <w:rFonts w:ascii="Arial" w:hAnsi="Arial" w:cs="Arial"/>
                <w:b/>
                <w:bCs/>
                <w:color w:val="auto"/>
              </w:rPr>
              <w:t>26</w:t>
            </w:r>
          </w:p>
        </w:tc>
        <w:tc>
          <w:tcPr>
            <w:tcW w:w="949" w:type="dxa"/>
          </w:tcPr>
          <w:p w14:paraId="3C27CFD7" w14:textId="23263BB4" w:rsidR="00960FDA" w:rsidRPr="00507DC5" w:rsidRDefault="00441CF2" w:rsidP="00721F14">
            <w:pPr>
              <w:autoSpaceDE w:val="0"/>
              <w:adjustRightInd w:val="0"/>
              <w:spacing w:after="0" w:line="240" w:lineRule="auto"/>
              <w:jc w:val="center"/>
              <w:rPr>
                <w:rFonts w:ascii="Arial" w:hAnsi="Arial" w:cs="Arial"/>
                <w:b/>
                <w:bCs/>
                <w:color w:val="auto"/>
              </w:rPr>
            </w:pPr>
            <w:r w:rsidRPr="00507DC5">
              <w:rPr>
                <w:rFonts w:ascii="Arial" w:hAnsi="Arial" w:cs="Arial"/>
                <w:b/>
                <w:bCs/>
                <w:color w:val="auto"/>
              </w:rPr>
              <w:t>98</w:t>
            </w:r>
          </w:p>
        </w:tc>
        <w:tc>
          <w:tcPr>
            <w:tcW w:w="1014" w:type="dxa"/>
          </w:tcPr>
          <w:p w14:paraId="5B476096" w14:textId="68196515" w:rsidR="00960FDA" w:rsidRPr="00062D70" w:rsidRDefault="007D69DB" w:rsidP="00721F14">
            <w:pPr>
              <w:autoSpaceDE w:val="0"/>
              <w:autoSpaceDN w:val="0"/>
              <w:adjustRightInd w:val="0"/>
              <w:spacing w:after="0" w:line="240" w:lineRule="auto"/>
              <w:jc w:val="center"/>
              <w:rPr>
                <w:rFonts w:ascii="Arial" w:hAnsi="Arial" w:cs="Arial"/>
                <w:b/>
                <w:bCs/>
              </w:rPr>
            </w:pPr>
            <w:r>
              <w:rPr>
                <w:rFonts w:ascii="Arial" w:hAnsi="Arial" w:cs="Arial"/>
                <w:b/>
                <w:bCs/>
              </w:rPr>
              <w:t>21</w:t>
            </w:r>
          </w:p>
        </w:tc>
        <w:tc>
          <w:tcPr>
            <w:tcW w:w="1016" w:type="dxa"/>
          </w:tcPr>
          <w:p w14:paraId="5C515440" w14:textId="7F13F832" w:rsidR="00960FDA" w:rsidRPr="00062D70" w:rsidRDefault="00615134" w:rsidP="00721F14">
            <w:pPr>
              <w:spacing w:line="240" w:lineRule="auto"/>
              <w:jc w:val="center"/>
              <w:rPr>
                <w:rFonts w:ascii="Arial" w:hAnsi="Arial" w:cs="Arial"/>
                <w:b/>
                <w:bCs/>
              </w:rPr>
            </w:pPr>
            <w:r>
              <w:rPr>
                <w:rFonts w:ascii="Arial" w:hAnsi="Arial" w:cs="Arial"/>
                <w:b/>
                <w:bCs/>
              </w:rPr>
              <w:t>7</w:t>
            </w:r>
          </w:p>
        </w:tc>
      </w:tr>
    </w:tbl>
    <w:p w14:paraId="2A7D54D3" w14:textId="1A45B923"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3B7D34" w14:paraId="62E61911" w14:textId="77777777" w:rsidTr="00813448">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071DA6E9" w14:textId="77777777" w:rsidR="003B7D34" w:rsidRDefault="003B7D34" w:rsidP="00813448">
            <w:pPr>
              <w:pStyle w:val="TableRow"/>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1798FB1C" w14:textId="77777777" w:rsidR="003B7D34" w:rsidRDefault="003B7D34" w:rsidP="00813448">
            <w:pPr>
              <w:pStyle w:val="TableRow"/>
            </w:pPr>
            <w:r>
              <w:rPr>
                <w:b/>
              </w:rPr>
              <w:t>Amount</w:t>
            </w:r>
          </w:p>
        </w:tc>
      </w:tr>
      <w:tr w:rsidR="003B7D34" w14:paraId="1435CECF" w14:textId="77777777" w:rsidTr="00813448">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05C8E59" w14:textId="77777777" w:rsidR="003B7D34" w:rsidRDefault="003B7D34" w:rsidP="00813448">
            <w:pPr>
              <w:pStyle w:val="TableRow"/>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9CDB8C2" w14:textId="54E286C6" w:rsidR="003B7D34" w:rsidRPr="00723DF1" w:rsidRDefault="00A46F05" w:rsidP="00813448">
            <w:pPr>
              <w:pStyle w:val="TableRow"/>
              <w:rPr>
                <w:color w:val="auto"/>
              </w:rPr>
            </w:pPr>
            <w:r w:rsidRPr="00723DF1">
              <w:rPr>
                <w:color w:val="auto"/>
              </w:rPr>
              <w:t>£4</w:t>
            </w:r>
            <w:r w:rsidR="00431343" w:rsidRPr="00723DF1">
              <w:rPr>
                <w:color w:val="auto"/>
              </w:rPr>
              <w:t>29 635</w:t>
            </w:r>
          </w:p>
        </w:tc>
      </w:tr>
      <w:tr w:rsidR="003B7D34" w14:paraId="4EA1AFA7" w14:textId="77777777" w:rsidTr="00813448">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58F30CA" w14:textId="77777777" w:rsidR="003B7D34" w:rsidRPr="005F16B6" w:rsidRDefault="003B7D34" w:rsidP="00813448">
            <w:pPr>
              <w:pStyle w:val="TableRow"/>
              <w:spacing w:after="120"/>
            </w:pPr>
            <w:r>
              <w:t xml:space="preserve">Pupil premium funding carried forward from previous years </w:t>
            </w:r>
            <w:r w:rsidRPr="008E000B">
              <w:rPr>
                <w:i/>
                <w:iCs/>
              </w:rPr>
              <w:t>(enter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14F69FC" w14:textId="07F0073B" w:rsidR="003B7D34" w:rsidRPr="00723DF1" w:rsidRDefault="003B7D34" w:rsidP="00813448">
            <w:pPr>
              <w:pStyle w:val="TableRow"/>
              <w:rPr>
                <w:color w:val="auto"/>
              </w:rPr>
            </w:pPr>
            <w:r w:rsidRPr="00723DF1">
              <w:rPr>
                <w:color w:val="auto"/>
              </w:rPr>
              <w:t>£0</w:t>
            </w:r>
          </w:p>
        </w:tc>
      </w:tr>
      <w:tr w:rsidR="003B7D34" w14:paraId="34678446" w14:textId="77777777" w:rsidTr="00813448">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BDC81F8" w14:textId="77777777" w:rsidR="003B7D34" w:rsidRDefault="003B7D34" w:rsidP="00813448">
            <w:pPr>
              <w:pStyle w:val="TableRow"/>
              <w:spacing w:after="120"/>
              <w:rPr>
                <w:b/>
              </w:rPr>
            </w:pPr>
            <w:r>
              <w:rPr>
                <w:b/>
              </w:rPr>
              <w:t>Total budget for this academic year</w:t>
            </w:r>
          </w:p>
          <w:p w14:paraId="4572DAF0" w14:textId="77777777" w:rsidR="003B7D34" w:rsidRPr="003C4388" w:rsidRDefault="003B7D34" w:rsidP="00813448">
            <w:pPr>
              <w:pStyle w:val="TableRow"/>
              <w:rPr>
                <w:i/>
                <w:iCs/>
              </w:rPr>
            </w:pPr>
            <w:r w:rsidRPr="003C4388">
              <w:rPr>
                <w:i/>
                <w:iCs/>
              </w:rP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2460CD7" w14:textId="7197C822" w:rsidR="003B7D34" w:rsidRPr="00723DF1" w:rsidRDefault="003B7D34" w:rsidP="00813448">
            <w:pPr>
              <w:pStyle w:val="TableRow"/>
              <w:rPr>
                <w:color w:val="auto"/>
              </w:rPr>
            </w:pPr>
            <w:r w:rsidRPr="00723DF1">
              <w:rPr>
                <w:color w:val="auto"/>
              </w:rPr>
              <w:t>£</w:t>
            </w:r>
            <w:r w:rsidR="00A46F05" w:rsidRPr="00723DF1">
              <w:rPr>
                <w:color w:val="auto"/>
              </w:rPr>
              <w:t>4</w:t>
            </w:r>
            <w:r w:rsidR="00431343" w:rsidRPr="00723DF1">
              <w:rPr>
                <w:color w:val="auto"/>
              </w:rPr>
              <w:t>29 635</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rsidTr="4EEAC508">
        <w:tc>
          <w:tcPr>
            <w:tcW w:w="9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78D7F2E" w14:textId="34370809" w:rsidR="00B510F8" w:rsidRDefault="00B510F8" w:rsidP="00B510F8">
            <w:pPr>
              <w:pStyle w:val="paragraph"/>
              <w:spacing w:before="0" w:beforeAutospacing="0" w:after="0" w:afterAutospacing="0"/>
              <w:textAlignment w:val="baseline"/>
              <w:rPr>
                <w:rStyle w:val="normaltextrun"/>
                <w:rFonts w:ascii="Arial" w:hAnsi="Arial" w:cs="Arial"/>
              </w:rPr>
            </w:pPr>
            <w:r w:rsidRPr="00B510F8">
              <w:rPr>
                <w:rStyle w:val="normaltextrun"/>
                <w:rFonts w:ascii="Arial" w:hAnsi="Arial" w:cs="Arial"/>
              </w:rPr>
              <w:t>We at Byrchall High School believe all pupils should be provided with a quality first educational experience that enables them to meet their full potential regardless of social and economic circumstance. </w:t>
            </w:r>
          </w:p>
          <w:p w14:paraId="3E3BFE30" w14:textId="77777777" w:rsidR="00B510F8" w:rsidRPr="00B510F8" w:rsidRDefault="00B510F8" w:rsidP="00B510F8">
            <w:pPr>
              <w:pStyle w:val="paragraph"/>
              <w:spacing w:before="0" w:beforeAutospacing="0" w:after="0" w:afterAutospacing="0"/>
              <w:textAlignment w:val="baseline"/>
              <w:rPr>
                <w:rStyle w:val="normaltextrun"/>
                <w:rFonts w:ascii="Arial" w:hAnsi="Arial" w:cs="Arial"/>
              </w:rPr>
            </w:pPr>
          </w:p>
          <w:p w14:paraId="35F23431" w14:textId="42CFAD45" w:rsidR="00B510F8" w:rsidRPr="00B510F8" w:rsidRDefault="00B510F8" w:rsidP="00B510F8">
            <w:pPr>
              <w:pStyle w:val="paragraph"/>
              <w:spacing w:before="0" w:beforeAutospacing="0" w:after="0" w:afterAutospacing="0"/>
              <w:textAlignment w:val="baseline"/>
              <w:rPr>
                <w:rStyle w:val="normaltextrun"/>
                <w:rFonts w:ascii="Arial" w:hAnsi="Arial" w:cs="Arial"/>
              </w:rPr>
            </w:pPr>
            <w:r w:rsidRPr="00B510F8">
              <w:rPr>
                <w:rStyle w:val="normaltextrun"/>
                <w:rFonts w:ascii="Arial" w:hAnsi="Arial" w:cs="Arial"/>
              </w:rPr>
              <w:t>Our objectives for disadvantaged pupils are outlined below:</w:t>
            </w:r>
          </w:p>
          <w:p w14:paraId="4EB2603D" w14:textId="6B9A4E01" w:rsidR="0057037F" w:rsidRDefault="61B71F8B" w:rsidP="4EEAC508">
            <w:pPr>
              <w:pStyle w:val="paragraph"/>
              <w:spacing w:before="0" w:beforeAutospacing="0" w:after="0" w:afterAutospacing="0"/>
              <w:textAlignment w:val="baseline"/>
              <w:rPr>
                <w:rStyle w:val="normaltextrun"/>
                <w:rFonts w:ascii="Arial" w:hAnsi="Arial" w:cs="Arial"/>
                <w:color w:val="000000"/>
              </w:rPr>
            </w:pPr>
            <w:r w:rsidRPr="4EEAC508">
              <w:rPr>
                <w:rStyle w:val="normaltextrun"/>
                <w:rFonts w:ascii="Arial" w:hAnsi="Arial" w:cs="Arial"/>
                <w:color w:val="000000" w:themeColor="text1"/>
              </w:rPr>
              <w:t>1. To raise the attendance of all pupils in receipt of pupil premium including SPP, SEN PP and PP+ across all year groups in order to decrease the proportion of pupils who are PA in this category and ensure that attendance for these pupils is as close to 9</w:t>
            </w:r>
            <w:r w:rsidR="77D8E520" w:rsidRPr="4EEAC508">
              <w:rPr>
                <w:rStyle w:val="normaltextrun"/>
                <w:rFonts w:ascii="Arial" w:hAnsi="Arial" w:cs="Arial"/>
                <w:color w:val="000000" w:themeColor="text1"/>
              </w:rPr>
              <w:t>7</w:t>
            </w:r>
            <w:r w:rsidRPr="4EEAC508">
              <w:rPr>
                <w:rStyle w:val="normaltextrun"/>
                <w:rFonts w:ascii="Arial" w:hAnsi="Arial" w:cs="Arial"/>
                <w:color w:val="000000" w:themeColor="text1"/>
              </w:rPr>
              <w:t>% as possible. </w:t>
            </w:r>
            <w:r w:rsidRPr="4EEAC508">
              <w:rPr>
                <w:rStyle w:val="eop"/>
                <w:rFonts w:ascii="Arial" w:hAnsi="Arial" w:cs="Arial"/>
                <w:color w:val="000000" w:themeColor="text1"/>
              </w:rPr>
              <w:t> </w:t>
            </w:r>
          </w:p>
          <w:p w14:paraId="6DFAB7EF" w14:textId="727B5609" w:rsidR="00B510F8" w:rsidRPr="00B510F8" w:rsidRDefault="0057037F" w:rsidP="3BDF0B8B">
            <w:pPr>
              <w:pStyle w:val="paragraph"/>
              <w:spacing w:before="0" w:beforeAutospacing="0" w:after="0" w:afterAutospacing="0"/>
              <w:textAlignment w:val="baseline"/>
              <w:rPr>
                <w:rStyle w:val="normaltextrun"/>
                <w:rFonts w:ascii="Arial" w:hAnsi="Arial" w:cs="Arial"/>
                <w:color w:val="000000"/>
              </w:rPr>
            </w:pPr>
            <w:r w:rsidRPr="3BDF0B8B">
              <w:rPr>
                <w:rStyle w:val="normaltextrun"/>
                <w:rFonts w:ascii="Arial" w:hAnsi="Arial" w:cs="Arial"/>
                <w:color w:val="000000" w:themeColor="text1"/>
              </w:rPr>
              <w:t xml:space="preserve">2. </w:t>
            </w:r>
            <w:r w:rsidR="00B510F8" w:rsidRPr="3BDF0B8B">
              <w:rPr>
                <w:rStyle w:val="normaltextrun"/>
                <w:rFonts w:ascii="Arial" w:hAnsi="Arial" w:cs="Arial"/>
                <w:color w:val="000000" w:themeColor="text1"/>
              </w:rPr>
              <w:t>To raise the attainment and achievement of all pupils in receipt of pupil premium, including SPP, SEN PP and PP+ across all year groups so that gaps are close to national average ‘other’ across P8, A8 and the basics measure.  Teacher CPD ensuring all pupils receive quality first teaching, with curriculum adaptation to support learners as appropriate.</w:t>
            </w:r>
          </w:p>
          <w:p w14:paraId="466F39E5" w14:textId="1B0DD5E2" w:rsidR="00B510F8" w:rsidRPr="00B510F8" w:rsidRDefault="0057037F" w:rsidP="3BDF0B8B">
            <w:pPr>
              <w:pStyle w:val="paragraph"/>
              <w:spacing w:before="0" w:beforeAutospacing="0" w:after="0" w:afterAutospacing="0"/>
              <w:textAlignment w:val="baseline"/>
              <w:rPr>
                <w:rFonts w:ascii="Arial" w:hAnsi="Arial" w:cs="Arial"/>
                <w:color w:val="000000"/>
              </w:rPr>
            </w:pPr>
            <w:r w:rsidRPr="3BDF0B8B">
              <w:rPr>
                <w:rStyle w:val="normaltextrun"/>
                <w:rFonts w:ascii="Arial" w:hAnsi="Arial" w:cs="Arial"/>
                <w:color w:val="000000" w:themeColor="text1"/>
              </w:rPr>
              <w:t>3</w:t>
            </w:r>
            <w:r w:rsidR="00B510F8" w:rsidRPr="3BDF0B8B">
              <w:rPr>
                <w:rStyle w:val="normaltextrun"/>
                <w:rFonts w:ascii="Arial" w:hAnsi="Arial" w:cs="Arial"/>
                <w:color w:val="000000" w:themeColor="text1"/>
              </w:rPr>
              <w:t>. To ensure that pupils who require additional social, emotional, and behavioural support receive the necessary interventions within a timely manner. Summer school and transition events supporting this.  Attitudes to learning data will indicate that key measures are reducing across the school and that all gaps are closing. </w:t>
            </w:r>
            <w:r w:rsidR="00B510F8" w:rsidRPr="3BDF0B8B">
              <w:rPr>
                <w:rStyle w:val="eop"/>
                <w:rFonts w:ascii="Arial" w:hAnsi="Arial" w:cs="Arial"/>
                <w:color w:val="000000" w:themeColor="text1"/>
              </w:rPr>
              <w:t> </w:t>
            </w:r>
          </w:p>
          <w:p w14:paraId="610A1D53" w14:textId="7E7A8BA8" w:rsidR="00B510F8" w:rsidRDefault="00B510F8" w:rsidP="3BDF0B8B">
            <w:pPr>
              <w:pStyle w:val="paragraph"/>
              <w:spacing w:before="0" w:beforeAutospacing="0" w:after="0" w:afterAutospacing="0"/>
              <w:textAlignment w:val="baseline"/>
              <w:rPr>
                <w:rStyle w:val="normaltextrun"/>
                <w:rFonts w:ascii="Arial" w:hAnsi="Arial" w:cs="Arial"/>
                <w:color w:val="000000" w:themeColor="text1"/>
              </w:rPr>
            </w:pPr>
            <w:r w:rsidRPr="3BDF0B8B">
              <w:rPr>
                <w:rStyle w:val="normaltextrun"/>
                <w:rFonts w:ascii="Arial" w:hAnsi="Arial" w:cs="Arial"/>
                <w:color w:val="000000" w:themeColor="text1"/>
              </w:rPr>
              <w:t xml:space="preserve">4. To increase pupils’ aspirations.  These increased aspirations will ensure that all PP pupils, including SPP , SEN PP and PP+ pupils follow an aspirational curriculum, experience a smooth transition from lower to upper school and secure a positive Post-16 destination. </w:t>
            </w:r>
          </w:p>
          <w:p w14:paraId="6C042FB3" w14:textId="3BC8BA2A" w:rsidR="00B510F8" w:rsidRDefault="00B510F8" w:rsidP="3BDF0B8B">
            <w:pPr>
              <w:pStyle w:val="paragraph"/>
              <w:spacing w:before="0" w:beforeAutospacing="0" w:after="0" w:afterAutospacing="0"/>
              <w:textAlignment w:val="baseline"/>
              <w:rPr>
                <w:rStyle w:val="normaltextrun"/>
                <w:rFonts w:ascii="Arial" w:hAnsi="Arial" w:cs="Arial"/>
                <w:color w:val="000000"/>
              </w:rPr>
            </w:pPr>
            <w:r w:rsidRPr="3BDF0B8B">
              <w:rPr>
                <w:rStyle w:val="normaltextrun"/>
                <w:rFonts w:ascii="Arial" w:hAnsi="Arial" w:cs="Arial"/>
                <w:color w:val="000000" w:themeColor="text1"/>
              </w:rPr>
              <w:t>5. Varied curriculum plus offer that develops cultural capital of pupils.  </w:t>
            </w:r>
            <w:r w:rsidRPr="3BDF0B8B">
              <w:rPr>
                <w:rStyle w:val="eop"/>
                <w:rFonts w:ascii="Arial" w:hAnsi="Arial" w:cs="Arial"/>
                <w:color w:val="000000" w:themeColor="text1"/>
              </w:rPr>
              <w:t> </w:t>
            </w:r>
          </w:p>
          <w:p w14:paraId="060E9C45" w14:textId="798DB09F" w:rsidR="000A5B56" w:rsidRDefault="000A5B56" w:rsidP="00B510F8">
            <w:pPr>
              <w:pStyle w:val="paragraph"/>
              <w:spacing w:before="0" w:beforeAutospacing="0" w:after="0" w:afterAutospacing="0"/>
              <w:textAlignment w:val="baseline"/>
              <w:rPr>
                <w:rStyle w:val="eop"/>
                <w:rFonts w:ascii="Arial" w:hAnsi="Arial"/>
                <w:color w:val="000000"/>
              </w:rPr>
            </w:pPr>
          </w:p>
          <w:p w14:paraId="0772A0D1" w14:textId="77777777" w:rsidR="00E66558" w:rsidRDefault="000A5B56" w:rsidP="000A5B56">
            <w:pPr>
              <w:pStyle w:val="paragraph"/>
              <w:spacing w:before="0" w:beforeAutospacing="0" w:after="0" w:afterAutospacing="0"/>
              <w:textAlignment w:val="baseline"/>
              <w:rPr>
                <w:rStyle w:val="eop"/>
              </w:rPr>
            </w:pPr>
            <w:r>
              <w:rPr>
                <w:rStyle w:val="eop"/>
                <w:rFonts w:ascii="Arial" w:hAnsi="Arial" w:cs="Arial"/>
                <w:color w:val="000000"/>
              </w:rPr>
              <w:t xml:space="preserve">This </w:t>
            </w:r>
            <w:r w:rsidRPr="000A5B56">
              <w:rPr>
                <w:rStyle w:val="eop"/>
                <w:rFonts w:ascii="Arial" w:hAnsi="Arial" w:cs="Arial"/>
                <w:color w:val="000000"/>
              </w:rPr>
              <w:t>str</w:t>
            </w:r>
            <w:r>
              <w:rPr>
                <w:rStyle w:val="eop"/>
                <w:rFonts w:ascii="Arial" w:hAnsi="Arial" w:cs="Arial"/>
                <w:color w:val="000000"/>
              </w:rPr>
              <w:t>at</w:t>
            </w:r>
            <w:r w:rsidRPr="000A5B56">
              <w:rPr>
                <w:rStyle w:val="eop"/>
                <w:rFonts w:ascii="Arial" w:hAnsi="Arial" w:cs="Arial"/>
                <w:color w:val="000000"/>
              </w:rPr>
              <w:t>egy plan has been w</w:t>
            </w:r>
            <w:r>
              <w:rPr>
                <w:rStyle w:val="eop"/>
                <w:rFonts w:ascii="Arial" w:hAnsi="Arial" w:cs="Arial"/>
                <w:color w:val="000000"/>
              </w:rPr>
              <w:t>r</w:t>
            </w:r>
            <w:r w:rsidRPr="000A5B56">
              <w:rPr>
                <w:rStyle w:val="eop"/>
                <w:rFonts w:ascii="Arial" w:hAnsi="Arial" w:cs="Arial"/>
                <w:color w:val="000000"/>
              </w:rPr>
              <w:t>itten with these objectives in mind and in line with best practice evidence from EEF and DfE.</w:t>
            </w:r>
          </w:p>
          <w:p w14:paraId="2A7D54E9" w14:textId="1DCAC84B" w:rsidR="000A5B56" w:rsidRPr="000A5B56" w:rsidRDefault="000A5B56" w:rsidP="000A5B56">
            <w:pPr>
              <w:pStyle w:val="paragraph"/>
              <w:spacing w:before="0" w:beforeAutospacing="0" w:after="0" w:afterAutospacing="0"/>
              <w:textAlignment w:val="baseline"/>
              <w:rPr>
                <w:rFonts w:ascii="Arial" w:hAnsi="Arial" w:cs="Arial"/>
                <w:color w:val="000000"/>
              </w:rPr>
            </w:pPr>
          </w:p>
        </w:tc>
      </w:tr>
    </w:tbl>
    <w:p w14:paraId="2A7D54EB" w14:textId="77777777" w:rsidR="00E66558" w:rsidRDefault="009D71E8">
      <w:pPr>
        <w:pStyle w:val="Heading2"/>
        <w:spacing w:before="600"/>
      </w:pPr>
      <w:r>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4CD90FB4" w:rsidR="00E66558" w:rsidRPr="00FE031F" w:rsidRDefault="00FE031F">
            <w:pPr>
              <w:pStyle w:val="TableRowCentered"/>
              <w:jc w:val="left"/>
            </w:pPr>
            <w:r w:rsidRPr="00FE031F">
              <w:rPr>
                <w:sz w:val="22"/>
                <w:szCs w:val="22"/>
              </w:rPr>
              <w:t>Attendance gap exists between DP and Non-DP pupils.</w:t>
            </w:r>
          </w:p>
        </w:tc>
      </w:tr>
      <w:tr w:rsidR="00927CAC" w14:paraId="2AF4CFE7"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1CA3F" w14:textId="6DD3F4E4" w:rsidR="00927CAC" w:rsidRDefault="00927CAC">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898A5" w14:textId="65A3FC85" w:rsidR="00927CAC" w:rsidRPr="00FE031F" w:rsidRDefault="00927CAC">
            <w:pPr>
              <w:pStyle w:val="TableRowCentered"/>
              <w:jc w:val="left"/>
              <w:rPr>
                <w:sz w:val="22"/>
                <w:szCs w:val="22"/>
              </w:rPr>
            </w:pPr>
            <w:r>
              <w:rPr>
                <w:iCs/>
                <w:sz w:val="22"/>
              </w:rPr>
              <w:t>Gaps in learning due to absence.</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3B241E67" w:rsidR="00E66558" w:rsidRDefault="00927CAC">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5D6A3ACF" w:rsidR="00E66558" w:rsidRDefault="00FE031F">
            <w:pPr>
              <w:pStyle w:val="TableRowCentered"/>
              <w:jc w:val="left"/>
              <w:rPr>
                <w:sz w:val="22"/>
                <w:szCs w:val="22"/>
              </w:rPr>
            </w:pPr>
            <w:r>
              <w:rPr>
                <w:sz w:val="22"/>
                <w:szCs w:val="22"/>
              </w:rPr>
              <w:t>Literacy levels, gap between chronological age and reading age.</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246F74BC" w:rsidR="00E66558" w:rsidRDefault="00927CAC">
            <w:pPr>
              <w:pStyle w:val="TableRow"/>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55E0D77B" w:rsidR="00E66558" w:rsidRDefault="007935E0">
            <w:pPr>
              <w:pStyle w:val="TableRowCentered"/>
              <w:jc w:val="left"/>
              <w:rPr>
                <w:sz w:val="22"/>
                <w:szCs w:val="22"/>
              </w:rPr>
            </w:pPr>
            <w:r>
              <w:rPr>
                <w:sz w:val="22"/>
                <w:szCs w:val="22"/>
              </w:rPr>
              <w:t>Pupils not secondary ready on entry.</w:t>
            </w:r>
          </w:p>
        </w:tc>
      </w:tr>
      <w:tr w:rsidR="00E66558"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7CD2F71D" w:rsidR="00E66558" w:rsidRDefault="00927CAC">
            <w:pPr>
              <w:pStyle w:val="TableRow"/>
              <w:rPr>
                <w:sz w:val="22"/>
                <w:szCs w:val="22"/>
              </w:rPr>
            </w:pPr>
            <w:bookmarkStart w:id="16" w:name="_Toc443397160"/>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37210E00" w:rsidR="00E66558" w:rsidRDefault="007935E0">
            <w:pPr>
              <w:pStyle w:val="TableRowCentered"/>
              <w:jc w:val="left"/>
              <w:rPr>
                <w:iCs/>
                <w:sz w:val="22"/>
              </w:rPr>
            </w:pPr>
            <w:r>
              <w:rPr>
                <w:iCs/>
                <w:sz w:val="22"/>
              </w:rPr>
              <w:t>Low aspirations for some pupils leading to low engagement levels.</w:t>
            </w:r>
          </w:p>
        </w:tc>
      </w:tr>
    </w:tbl>
    <w:p w14:paraId="2A7D54FF" w14:textId="77777777" w:rsidR="00E66558" w:rsidRDefault="009D71E8">
      <w:pPr>
        <w:pStyle w:val="Heading2"/>
        <w:spacing w:before="600"/>
      </w:pPr>
      <w:r>
        <w:lastRenderedPageBreak/>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228" w:type="pct"/>
        <w:tblCellMar>
          <w:left w:w="10" w:type="dxa"/>
          <w:right w:w="10" w:type="dxa"/>
        </w:tblCellMar>
        <w:tblLook w:val="04A0" w:firstRow="1" w:lastRow="0" w:firstColumn="1" w:lastColumn="0" w:noHBand="0" w:noVBand="1"/>
      </w:tblPr>
      <w:tblGrid>
        <w:gridCol w:w="4815"/>
        <w:gridCol w:w="5104"/>
      </w:tblGrid>
      <w:tr w:rsidR="00E66558" w14:paraId="2A7D5503" w14:textId="77777777" w:rsidTr="007148A3">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rsidTr="007148A3">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4" w14:textId="2F7C74A9" w:rsidR="00E66558" w:rsidRDefault="006E089E">
            <w:pPr>
              <w:pStyle w:val="TableRow"/>
            </w:pPr>
            <w:r>
              <w:t xml:space="preserve">Narrow gap in attendance between DP and </w:t>
            </w:r>
            <w:r w:rsidR="0049216E">
              <w:t>Non-DP</w:t>
            </w:r>
            <w:r>
              <w:t xml:space="preserve"> pupils.</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66EBCC55" w14:textId="7CF9E727" w:rsidR="000A7CAB" w:rsidRPr="00ED35ED" w:rsidRDefault="6F76599C" w:rsidP="00B9627E">
            <w:pPr>
              <w:pStyle w:val="TableRowCentered"/>
              <w:jc w:val="left"/>
              <w:rPr>
                <w:rFonts w:cs="Arial"/>
                <w:sz w:val="22"/>
                <w:szCs w:val="22"/>
              </w:rPr>
            </w:pPr>
            <w:r w:rsidRPr="00ED35ED">
              <w:rPr>
                <w:sz w:val="22"/>
                <w:szCs w:val="22"/>
              </w:rPr>
              <w:t xml:space="preserve">DP </w:t>
            </w:r>
            <w:r w:rsidR="7821A8D6" w:rsidRPr="00ED35ED">
              <w:rPr>
                <w:sz w:val="22"/>
                <w:szCs w:val="22"/>
              </w:rPr>
              <w:t>pupils’</w:t>
            </w:r>
            <w:r w:rsidRPr="00ED35ED">
              <w:rPr>
                <w:sz w:val="22"/>
                <w:szCs w:val="22"/>
              </w:rPr>
              <w:t xml:space="preserve"> attendance to be in line with </w:t>
            </w:r>
            <w:r w:rsidR="7821A8D6" w:rsidRPr="00ED35ED">
              <w:rPr>
                <w:sz w:val="22"/>
                <w:szCs w:val="22"/>
              </w:rPr>
              <w:t>Non-DP</w:t>
            </w:r>
            <w:r w:rsidRPr="00ED35ED">
              <w:rPr>
                <w:sz w:val="22"/>
                <w:szCs w:val="22"/>
              </w:rPr>
              <w:t xml:space="preserve">.  </w:t>
            </w:r>
          </w:p>
          <w:p w14:paraId="1124B465" w14:textId="18CECA3D" w:rsidR="00ED35ED" w:rsidRDefault="00ED35ED" w:rsidP="4EEAC508">
            <w:pPr>
              <w:spacing w:after="160" w:line="259" w:lineRule="auto"/>
              <w:rPr>
                <w:rFonts w:cs="Arial"/>
                <w:sz w:val="22"/>
                <w:szCs w:val="22"/>
              </w:rPr>
            </w:pPr>
            <w:r w:rsidRPr="00ED35ED">
              <w:rPr>
                <w:rFonts w:cs="Arial"/>
                <w:sz w:val="22"/>
                <w:szCs w:val="22"/>
              </w:rPr>
              <w:t>2022-23: non-PP 92.3</w:t>
            </w:r>
            <w:r w:rsidR="007148A3">
              <w:rPr>
                <w:rFonts w:cs="Arial"/>
                <w:sz w:val="22"/>
                <w:szCs w:val="22"/>
              </w:rPr>
              <w:t>%</w:t>
            </w:r>
            <w:r w:rsidRPr="00ED35ED">
              <w:rPr>
                <w:rFonts w:cs="Arial"/>
                <w:sz w:val="22"/>
                <w:szCs w:val="22"/>
              </w:rPr>
              <w:t>, PP 84.7%, Gap 7.6%</w:t>
            </w:r>
          </w:p>
          <w:p w14:paraId="1E8638E0" w14:textId="3F04A9B5" w:rsidR="00B9627E" w:rsidRDefault="00B9627E" w:rsidP="4EEAC508">
            <w:pPr>
              <w:spacing w:after="160" w:line="259" w:lineRule="auto"/>
              <w:rPr>
                <w:rFonts w:cs="Arial"/>
                <w:sz w:val="22"/>
                <w:szCs w:val="22"/>
              </w:rPr>
            </w:pPr>
            <w:r w:rsidRPr="002C6C73">
              <w:rPr>
                <w:rFonts w:cs="Arial"/>
                <w:sz w:val="22"/>
                <w:szCs w:val="22"/>
              </w:rPr>
              <w:t>2023-24</w:t>
            </w:r>
            <w:r w:rsidR="00256619" w:rsidRPr="002C6C73">
              <w:rPr>
                <w:rFonts w:cs="Arial"/>
                <w:sz w:val="22"/>
                <w:szCs w:val="22"/>
              </w:rPr>
              <w:t xml:space="preserve">: </w:t>
            </w:r>
            <w:r w:rsidR="005F3576" w:rsidRPr="002C6C73">
              <w:rPr>
                <w:rFonts w:cs="Arial"/>
                <w:sz w:val="22"/>
                <w:szCs w:val="22"/>
              </w:rPr>
              <w:t xml:space="preserve">non-PP </w:t>
            </w:r>
            <w:r w:rsidR="002C6C73" w:rsidRPr="002C6C73">
              <w:rPr>
                <w:rFonts w:cs="Arial"/>
                <w:sz w:val="22"/>
                <w:szCs w:val="22"/>
              </w:rPr>
              <w:t>89.24</w:t>
            </w:r>
            <w:r w:rsidR="007148A3">
              <w:rPr>
                <w:rFonts w:cs="Arial"/>
                <w:sz w:val="22"/>
                <w:szCs w:val="22"/>
              </w:rPr>
              <w:t>%</w:t>
            </w:r>
            <w:r w:rsidR="005F3576" w:rsidRPr="002C6C73">
              <w:rPr>
                <w:rFonts w:cs="Arial"/>
                <w:sz w:val="22"/>
                <w:szCs w:val="22"/>
              </w:rPr>
              <w:t xml:space="preserve"> PP</w:t>
            </w:r>
            <w:r w:rsidR="002C6C73" w:rsidRPr="002C6C73">
              <w:rPr>
                <w:rFonts w:cs="Arial"/>
                <w:sz w:val="22"/>
                <w:szCs w:val="22"/>
              </w:rPr>
              <w:t xml:space="preserve"> 85.2</w:t>
            </w:r>
            <w:r w:rsidR="007148A3">
              <w:rPr>
                <w:rFonts w:cs="Arial"/>
                <w:sz w:val="22"/>
                <w:szCs w:val="22"/>
              </w:rPr>
              <w:t>%</w:t>
            </w:r>
            <w:r w:rsidR="005F3576" w:rsidRPr="002C6C73">
              <w:rPr>
                <w:rFonts w:cs="Arial"/>
                <w:sz w:val="22"/>
                <w:szCs w:val="22"/>
              </w:rPr>
              <w:t xml:space="preserve"> Gap </w:t>
            </w:r>
            <w:r w:rsidR="002C6C73" w:rsidRPr="002C6C73">
              <w:rPr>
                <w:rFonts w:cs="Arial"/>
                <w:sz w:val="22"/>
                <w:szCs w:val="22"/>
              </w:rPr>
              <w:t>4.04</w:t>
            </w:r>
            <w:r w:rsidR="005F3576" w:rsidRPr="002C6C73">
              <w:rPr>
                <w:rFonts w:cs="Arial"/>
                <w:sz w:val="22"/>
                <w:szCs w:val="22"/>
              </w:rPr>
              <w:t>%</w:t>
            </w:r>
          </w:p>
          <w:p w14:paraId="2A7D5505" w14:textId="7ADC33CB" w:rsidR="007148A3" w:rsidRPr="002C6C73" w:rsidRDefault="007148A3" w:rsidP="4EEAC508">
            <w:pPr>
              <w:spacing w:after="160" w:line="259" w:lineRule="auto"/>
              <w:rPr>
                <w:rFonts w:cs="Arial"/>
                <w:sz w:val="22"/>
                <w:szCs w:val="22"/>
              </w:rPr>
            </w:pPr>
            <w:r w:rsidRPr="00ED35ED">
              <w:rPr>
                <w:rFonts w:cs="Arial"/>
                <w:sz w:val="22"/>
                <w:szCs w:val="22"/>
              </w:rPr>
              <w:t>202</w:t>
            </w:r>
            <w:r>
              <w:rPr>
                <w:rFonts w:cs="Arial"/>
                <w:sz w:val="22"/>
                <w:szCs w:val="22"/>
              </w:rPr>
              <w:t>4</w:t>
            </w:r>
            <w:r w:rsidRPr="00ED35ED">
              <w:rPr>
                <w:rFonts w:cs="Arial"/>
                <w:sz w:val="22"/>
                <w:szCs w:val="22"/>
              </w:rPr>
              <w:t>-2</w:t>
            </w:r>
            <w:r>
              <w:rPr>
                <w:rFonts w:cs="Arial"/>
                <w:sz w:val="22"/>
                <w:szCs w:val="22"/>
              </w:rPr>
              <w:t>5</w:t>
            </w:r>
            <w:r w:rsidRPr="00ED35ED">
              <w:rPr>
                <w:rFonts w:cs="Arial"/>
                <w:sz w:val="22"/>
                <w:szCs w:val="22"/>
              </w:rPr>
              <w:t xml:space="preserve">: </w:t>
            </w:r>
            <w:r w:rsidRPr="00E42616">
              <w:rPr>
                <w:rFonts w:cs="Arial"/>
                <w:color w:val="auto"/>
                <w:sz w:val="22"/>
                <w:szCs w:val="22"/>
              </w:rPr>
              <w:t xml:space="preserve">non-PP </w:t>
            </w:r>
            <w:r w:rsidR="00E42616" w:rsidRPr="00E42616">
              <w:rPr>
                <w:rFonts w:cs="Arial"/>
                <w:color w:val="auto"/>
                <w:sz w:val="22"/>
                <w:szCs w:val="22"/>
              </w:rPr>
              <w:t>92.9%</w:t>
            </w:r>
            <w:r w:rsidRPr="00E42616">
              <w:rPr>
                <w:rFonts w:cs="Arial"/>
                <w:color w:val="auto"/>
                <w:sz w:val="22"/>
                <w:szCs w:val="22"/>
              </w:rPr>
              <w:t xml:space="preserve">, PP </w:t>
            </w:r>
            <w:r w:rsidR="00E42616" w:rsidRPr="00E42616">
              <w:rPr>
                <w:rFonts w:cs="Arial"/>
                <w:color w:val="auto"/>
                <w:sz w:val="22"/>
                <w:szCs w:val="22"/>
              </w:rPr>
              <w:t>86.5</w:t>
            </w:r>
            <w:r w:rsidRPr="00E42616">
              <w:rPr>
                <w:rFonts w:cs="Arial"/>
                <w:color w:val="auto"/>
                <w:sz w:val="22"/>
                <w:szCs w:val="22"/>
              </w:rPr>
              <w:t>%,</w:t>
            </w:r>
            <w:r w:rsidR="00E42616" w:rsidRPr="00E42616">
              <w:rPr>
                <w:rFonts w:cs="Arial"/>
                <w:color w:val="auto"/>
                <w:sz w:val="22"/>
                <w:szCs w:val="22"/>
              </w:rPr>
              <w:t xml:space="preserve"> </w:t>
            </w:r>
            <w:r w:rsidRPr="00E42616">
              <w:rPr>
                <w:rFonts w:cs="Arial"/>
                <w:color w:val="auto"/>
                <w:sz w:val="22"/>
                <w:szCs w:val="22"/>
              </w:rPr>
              <w:t xml:space="preserve">Gap </w:t>
            </w:r>
            <w:r w:rsidR="00E42616" w:rsidRPr="00E42616">
              <w:rPr>
                <w:rFonts w:cs="Arial"/>
                <w:color w:val="auto"/>
                <w:sz w:val="22"/>
                <w:szCs w:val="22"/>
              </w:rPr>
              <w:t>6.4</w:t>
            </w:r>
            <w:r w:rsidRPr="00E42616">
              <w:rPr>
                <w:rFonts w:cs="Arial"/>
                <w:color w:val="auto"/>
                <w:sz w:val="22"/>
                <w:szCs w:val="22"/>
              </w:rPr>
              <w:t>%</w:t>
            </w:r>
          </w:p>
        </w:tc>
      </w:tr>
      <w:tr w:rsidR="00E66558" w14:paraId="2A7D5509" w14:textId="77777777" w:rsidTr="007148A3">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7" w14:textId="367BD643" w:rsidR="00E66558" w:rsidRDefault="008D2FCC">
            <w:pPr>
              <w:pStyle w:val="TableRow"/>
              <w:rPr>
                <w:sz w:val="22"/>
                <w:szCs w:val="22"/>
              </w:rPr>
            </w:pPr>
            <w:r>
              <w:rPr>
                <w:sz w:val="22"/>
                <w:szCs w:val="22"/>
              </w:rPr>
              <w:t xml:space="preserve">Narrow gap between reading age and chronological reading age.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8" w14:textId="24A7AFF1" w:rsidR="00E66558" w:rsidRPr="008D2FCC" w:rsidRDefault="61B71F8B" w:rsidP="4EEAC508">
            <w:pPr>
              <w:pStyle w:val="TableRowCentered"/>
              <w:jc w:val="left"/>
              <w:rPr>
                <w:sz w:val="22"/>
                <w:szCs w:val="22"/>
              </w:rPr>
            </w:pPr>
            <w:r w:rsidRPr="4EEAC508">
              <w:rPr>
                <w:sz w:val="22"/>
                <w:szCs w:val="22"/>
              </w:rPr>
              <w:t xml:space="preserve">80% of pupils to have a reading age close to their chronological age so that reading is not a barrier to success. </w:t>
            </w:r>
          </w:p>
        </w:tc>
      </w:tr>
      <w:tr w:rsidR="00E66558" w14:paraId="2A7D550C" w14:textId="77777777" w:rsidTr="007148A3">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A" w14:textId="52207E32" w:rsidR="00E66558" w:rsidRDefault="008D2FCC">
            <w:pPr>
              <w:pStyle w:val="TableRow"/>
              <w:rPr>
                <w:sz w:val="22"/>
                <w:szCs w:val="22"/>
              </w:rPr>
            </w:pPr>
            <w:r>
              <w:rPr>
                <w:sz w:val="22"/>
                <w:szCs w:val="22"/>
              </w:rPr>
              <w:t xml:space="preserve">Pupils on entry identified as not secondary level receive bespoke intervention to ensure catch-up with peers.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B" w14:textId="14F186F3" w:rsidR="00E66558" w:rsidRDefault="2802197F">
            <w:pPr>
              <w:pStyle w:val="TableRowCentered"/>
              <w:jc w:val="left"/>
              <w:rPr>
                <w:sz w:val="22"/>
                <w:szCs w:val="22"/>
              </w:rPr>
            </w:pPr>
            <w:r w:rsidRPr="4EEAC508">
              <w:rPr>
                <w:sz w:val="22"/>
                <w:szCs w:val="22"/>
              </w:rPr>
              <w:t xml:space="preserve">80% of pupils identified successfully close the gap within 1 academic year.  Pupils who have not to continue to receive bespoke intervention. </w:t>
            </w:r>
          </w:p>
        </w:tc>
      </w:tr>
      <w:tr w:rsidR="00E66558" w14:paraId="2A7D550F" w14:textId="77777777" w:rsidTr="007148A3">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FE2663F" w14:textId="77777777" w:rsidR="00E66558" w:rsidRDefault="006F0262">
            <w:pPr>
              <w:pStyle w:val="TableRow"/>
              <w:rPr>
                <w:sz w:val="22"/>
                <w:szCs w:val="22"/>
              </w:rPr>
            </w:pPr>
            <w:r>
              <w:rPr>
                <w:sz w:val="22"/>
                <w:szCs w:val="22"/>
              </w:rPr>
              <w:t xml:space="preserve">Close the gaps in learning as a result of </w:t>
            </w:r>
            <w:r w:rsidR="00BE0B4E">
              <w:rPr>
                <w:sz w:val="22"/>
                <w:szCs w:val="22"/>
              </w:rPr>
              <w:t xml:space="preserve">absence, </w:t>
            </w:r>
            <w:r>
              <w:rPr>
                <w:sz w:val="22"/>
                <w:szCs w:val="22"/>
              </w:rPr>
              <w:t xml:space="preserve">school closures and periods of isolation. </w:t>
            </w:r>
          </w:p>
          <w:p w14:paraId="1E21D068" w14:textId="77777777" w:rsidR="002E5897" w:rsidRDefault="002E5897" w:rsidP="002E5897">
            <w:pPr>
              <w:pStyle w:val="TableRow"/>
              <w:ind w:left="0"/>
              <w:rPr>
                <w:sz w:val="22"/>
                <w:szCs w:val="22"/>
              </w:rPr>
            </w:pPr>
          </w:p>
          <w:p w14:paraId="7641B4CC" w14:textId="77777777" w:rsidR="002E5897" w:rsidRDefault="002E5897">
            <w:pPr>
              <w:pStyle w:val="TableRow"/>
              <w:rPr>
                <w:sz w:val="22"/>
                <w:szCs w:val="22"/>
              </w:rPr>
            </w:pPr>
            <w:r>
              <w:rPr>
                <w:sz w:val="22"/>
                <w:szCs w:val="22"/>
              </w:rPr>
              <w:t xml:space="preserve">Narrow the gap in progress and attainment between disadvantaged pupils and their peers </w:t>
            </w:r>
          </w:p>
          <w:p w14:paraId="1960C965" w14:textId="77777777" w:rsidR="002E5897" w:rsidRDefault="002E5897">
            <w:pPr>
              <w:pStyle w:val="TableRow"/>
              <w:rPr>
                <w:sz w:val="22"/>
                <w:szCs w:val="22"/>
              </w:rPr>
            </w:pPr>
          </w:p>
          <w:p w14:paraId="311AEC7A" w14:textId="77777777" w:rsidR="002E5897" w:rsidRDefault="002E5897" w:rsidP="002E5897">
            <w:pPr>
              <w:pStyle w:val="TableRow"/>
              <w:rPr>
                <w:sz w:val="22"/>
                <w:szCs w:val="22"/>
              </w:rPr>
            </w:pPr>
            <w:r>
              <w:rPr>
                <w:sz w:val="22"/>
                <w:szCs w:val="22"/>
              </w:rPr>
              <w:t>Increase the number of pupils achieving grades 4/5 including Core and EBacc subjects.</w:t>
            </w:r>
          </w:p>
          <w:p w14:paraId="2A7D550D" w14:textId="51C1F856" w:rsidR="002E5897" w:rsidRDefault="002E5897">
            <w:pPr>
              <w:pStyle w:val="TableRow"/>
              <w:rPr>
                <w:sz w:val="22"/>
                <w:szCs w:val="22"/>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3F9F67CC" w14:textId="2E609E54" w:rsidR="00E66558" w:rsidRPr="00ED35ED" w:rsidRDefault="115E3CF7" w:rsidP="4EEAC508">
            <w:pPr>
              <w:pStyle w:val="TableRowCentered"/>
              <w:jc w:val="left"/>
              <w:rPr>
                <w:sz w:val="22"/>
                <w:szCs w:val="22"/>
              </w:rPr>
            </w:pPr>
            <w:r w:rsidRPr="00ED35ED">
              <w:rPr>
                <w:sz w:val="22"/>
                <w:szCs w:val="22"/>
              </w:rPr>
              <w:t>Progress of DP pupils to be in line with Non-DP.  2019</w:t>
            </w:r>
            <w:r w:rsidR="233B5E43" w:rsidRPr="00ED35ED">
              <w:rPr>
                <w:sz w:val="22"/>
                <w:szCs w:val="22"/>
              </w:rPr>
              <w:t xml:space="preserve"> </w:t>
            </w:r>
            <w:r w:rsidRPr="00ED35ED">
              <w:rPr>
                <w:sz w:val="22"/>
                <w:szCs w:val="22"/>
              </w:rPr>
              <w:t>Nat Av -0.45</w:t>
            </w:r>
            <w:r w:rsidR="233B5E43" w:rsidRPr="00ED35ED">
              <w:rPr>
                <w:sz w:val="22"/>
                <w:szCs w:val="22"/>
              </w:rPr>
              <w:t xml:space="preserve">, </w:t>
            </w:r>
            <w:r w:rsidRPr="00ED35ED">
              <w:rPr>
                <w:color w:val="000000" w:themeColor="text1"/>
                <w:sz w:val="22"/>
                <w:szCs w:val="22"/>
              </w:rPr>
              <w:t xml:space="preserve">Gap </w:t>
            </w:r>
            <w:r w:rsidR="05761702" w:rsidRPr="00ED35ED">
              <w:rPr>
                <w:color w:val="000000" w:themeColor="text1"/>
                <w:sz w:val="22"/>
                <w:szCs w:val="22"/>
              </w:rPr>
              <w:t>-0.58</w:t>
            </w:r>
          </w:p>
          <w:p w14:paraId="6F11675F" w14:textId="294DAF68" w:rsidR="00BE0B4E" w:rsidRPr="00AC0533" w:rsidRDefault="693993D7" w:rsidP="4EEAC508">
            <w:pPr>
              <w:pStyle w:val="ListParagraph"/>
              <w:numPr>
                <w:ilvl w:val="0"/>
                <w:numId w:val="14"/>
              </w:numPr>
              <w:spacing w:after="160" w:line="259" w:lineRule="auto"/>
              <w:rPr>
                <w:rFonts w:cs="Arial"/>
                <w:sz w:val="22"/>
                <w:szCs w:val="22"/>
              </w:rPr>
            </w:pPr>
            <w:r w:rsidRPr="00ED35ED">
              <w:rPr>
                <w:rFonts w:cs="Arial"/>
                <w:sz w:val="22"/>
                <w:szCs w:val="22"/>
              </w:rPr>
              <w:t>2021-22</w:t>
            </w:r>
            <w:r w:rsidR="00ED35ED" w:rsidRPr="00ED35ED">
              <w:rPr>
                <w:rFonts w:cs="Arial"/>
                <w:sz w:val="22"/>
                <w:szCs w:val="22"/>
              </w:rPr>
              <w:t xml:space="preserve">:Non PP P8 +0.22, PP -0.94, </w:t>
            </w:r>
            <w:r w:rsidR="00ED35ED" w:rsidRPr="00AC0533">
              <w:rPr>
                <w:rFonts w:cs="Arial"/>
                <w:sz w:val="22"/>
                <w:szCs w:val="22"/>
              </w:rPr>
              <w:t>Gap -1.16</w:t>
            </w:r>
          </w:p>
          <w:p w14:paraId="1F247876" w14:textId="0A1429A1" w:rsidR="00ED35ED" w:rsidRPr="00AC0533" w:rsidRDefault="00ED35ED" w:rsidP="4EEAC508">
            <w:pPr>
              <w:pStyle w:val="ListParagraph"/>
              <w:numPr>
                <w:ilvl w:val="0"/>
                <w:numId w:val="14"/>
              </w:numPr>
              <w:spacing w:after="160" w:line="259" w:lineRule="auto"/>
              <w:rPr>
                <w:rFonts w:cs="Arial"/>
                <w:sz w:val="22"/>
                <w:szCs w:val="22"/>
              </w:rPr>
            </w:pPr>
            <w:r w:rsidRPr="00AC0533">
              <w:rPr>
                <w:rFonts w:cs="Arial"/>
                <w:sz w:val="22"/>
                <w:szCs w:val="22"/>
              </w:rPr>
              <w:t>2022-23: Non PP P8 -0.1</w:t>
            </w:r>
            <w:r w:rsidR="00AC0533" w:rsidRPr="00AC0533">
              <w:rPr>
                <w:rFonts w:cs="Arial"/>
                <w:sz w:val="22"/>
                <w:szCs w:val="22"/>
              </w:rPr>
              <w:t>3</w:t>
            </w:r>
            <w:r w:rsidRPr="00AC0533">
              <w:rPr>
                <w:rFonts w:cs="Arial"/>
                <w:sz w:val="22"/>
                <w:szCs w:val="22"/>
              </w:rPr>
              <w:t>, PP -0.</w:t>
            </w:r>
            <w:r w:rsidR="00AC0533" w:rsidRPr="00AC0533">
              <w:rPr>
                <w:rFonts w:cs="Arial"/>
                <w:sz w:val="22"/>
                <w:szCs w:val="22"/>
              </w:rPr>
              <w:t>91</w:t>
            </w:r>
            <w:r w:rsidRPr="00AC0533">
              <w:rPr>
                <w:rFonts w:cs="Arial"/>
                <w:sz w:val="22"/>
                <w:szCs w:val="22"/>
              </w:rPr>
              <w:t>, Gap -</w:t>
            </w:r>
            <w:r w:rsidR="00AC0533" w:rsidRPr="00AC0533">
              <w:rPr>
                <w:rFonts w:cs="Arial"/>
                <w:sz w:val="22"/>
                <w:szCs w:val="22"/>
              </w:rPr>
              <w:t>0.91</w:t>
            </w:r>
          </w:p>
          <w:p w14:paraId="33580132" w14:textId="67092FBD" w:rsidR="00B9627E" w:rsidRDefault="00B9627E" w:rsidP="4EEAC508">
            <w:pPr>
              <w:pStyle w:val="ListParagraph"/>
              <w:numPr>
                <w:ilvl w:val="0"/>
                <w:numId w:val="14"/>
              </w:numPr>
              <w:spacing w:after="160" w:line="259" w:lineRule="auto"/>
              <w:rPr>
                <w:rFonts w:cs="Arial"/>
                <w:sz w:val="22"/>
                <w:szCs w:val="22"/>
              </w:rPr>
            </w:pPr>
            <w:r w:rsidRPr="00D141C2">
              <w:rPr>
                <w:rFonts w:cs="Arial"/>
                <w:sz w:val="22"/>
                <w:szCs w:val="22"/>
              </w:rPr>
              <w:t>2023-24</w:t>
            </w:r>
            <w:r w:rsidR="00D141C2" w:rsidRPr="00D141C2">
              <w:rPr>
                <w:rFonts w:cs="Arial"/>
                <w:sz w:val="22"/>
                <w:szCs w:val="22"/>
              </w:rPr>
              <w:t xml:space="preserve"> Non PP P8 -0.11, PP -0.86, Gap -0.75 * unvalidated figures</w:t>
            </w:r>
          </w:p>
          <w:p w14:paraId="67E06BAD" w14:textId="14ECD9C9" w:rsidR="002354FB" w:rsidRPr="00CC0E2B" w:rsidRDefault="002354FB" w:rsidP="4EEAC508">
            <w:pPr>
              <w:pStyle w:val="ListParagraph"/>
              <w:numPr>
                <w:ilvl w:val="0"/>
                <w:numId w:val="14"/>
              </w:numPr>
              <w:spacing w:after="160" w:line="259" w:lineRule="auto"/>
              <w:rPr>
                <w:rFonts w:cs="Arial"/>
                <w:color w:val="auto"/>
                <w:sz w:val="22"/>
                <w:szCs w:val="22"/>
              </w:rPr>
            </w:pPr>
            <w:r w:rsidRPr="00CC0E2B">
              <w:rPr>
                <w:rFonts w:cs="Arial"/>
                <w:color w:val="auto"/>
                <w:sz w:val="22"/>
                <w:szCs w:val="22"/>
              </w:rPr>
              <w:t xml:space="preserve">2024-25 </w:t>
            </w:r>
            <w:r w:rsidR="00F75CF7" w:rsidRPr="00CC0E2B">
              <w:rPr>
                <w:rFonts w:cs="Arial"/>
                <w:color w:val="auto"/>
                <w:sz w:val="22"/>
                <w:szCs w:val="22"/>
              </w:rPr>
              <w:t>Non PP -0.041, PP -0.740 Gap -0.699</w:t>
            </w:r>
            <w:r w:rsidR="00600439" w:rsidRPr="00CC0E2B">
              <w:rPr>
                <w:rFonts w:cs="Arial"/>
                <w:color w:val="auto"/>
                <w:sz w:val="22"/>
                <w:szCs w:val="22"/>
              </w:rPr>
              <w:t xml:space="preserve">    * unvalidated figures</w:t>
            </w:r>
          </w:p>
          <w:p w14:paraId="43599ED5" w14:textId="5B75F7B0" w:rsidR="00B1252E" w:rsidRPr="00ED35ED" w:rsidRDefault="115E3CF7" w:rsidP="4EEAC508">
            <w:pPr>
              <w:pStyle w:val="TableRowCentered"/>
              <w:jc w:val="left"/>
              <w:rPr>
                <w:sz w:val="22"/>
                <w:szCs w:val="22"/>
              </w:rPr>
            </w:pPr>
            <w:r w:rsidRPr="00ED35ED">
              <w:rPr>
                <w:sz w:val="22"/>
                <w:szCs w:val="22"/>
              </w:rPr>
              <w:t>Attainment of DP pupils to be in line with Non-DP.  2019</w:t>
            </w:r>
            <w:r w:rsidR="0A916CDB" w:rsidRPr="00ED35ED">
              <w:rPr>
                <w:sz w:val="22"/>
                <w:szCs w:val="22"/>
              </w:rPr>
              <w:t xml:space="preserve"> Nat Av 3.67</w:t>
            </w:r>
            <w:r w:rsidR="233B5E43" w:rsidRPr="00ED35ED">
              <w:rPr>
                <w:sz w:val="22"/>
                <w:szCs w:val="22"/>
              </w:rPr>
              <w:t>,</w:t>
            </w:r>
            <w:r w:rsidRPr="00ED35ED">
              <w:rPr>
                <w:sz w:val="22"/>
                <w:szCs w:val="22"/>
              </w:rPr>
              <w:t xml:space="preserve"> Gap </w:t>
            </w:r>
            <w:r w:rsidR="05761702" w:rsidRPr="00ED35ED">
              <w:rPr>
                <w:sz w:val="22"/>
                <w:szCs w:val="22"/>
              </w:rPr>
              <w:t>1.34</w:t>
            </w:r>
          </w:p>
          <w:p w14:paraId="26A6B9CD" w14:textId="0290634A" w:rsidR="00BE0B4E" w:rsidRPr="00ED35ED" w:rsidRDefault="693993D7" w:rsidP="4EEAC508">
            <w:pPr>
              <w:pStyle w:val="ListParagraph"/>
              <w:numPr>
                <w:ilvl w:val="0"/>
                <w:numId w:val="14"/>
              </w:numPr>
              <w:spacing w:after="160" w:line="259" w:lineRule="auto"/>
              <w:rPr>
                <w:rFonts w:cs="Arial"/>
                <w:sz w:val="22"/>
                <w:szCs w:val="22"/>
              </w:rPr>
            </w:pPr>
            <w:r w:rsidRPr="00ED35ED">
              <w:rPr>
                <w:rFonts w:cs="Arial"/>
                <w:sz w:val="22"/>
                <w:szCs w:val="22"/>
              </w:rPr>
              <w:t>2021-22</w:t>
            </w:r>
            <w:r w:rsidR="00ED35ED" w:rsidRPr="00ED35ED">
              <w:rPr>
                <w:rFonts w:cs="Arial"/>
                <w:sz w:val="22"/>
                <w:szCs w:val="22"/>
              </w:rPr>
              <w:t>. Non PP 5.36, PP 3.84 Gap: 1.52</w:t>
            </w:r>
          </w:p>
          <w:p w14:paraId="122072D5" w14:textId="77777777" w:rsidR="00B1252E" w:rsidRDefault="00ED35ED" w:rsidP="00ED35ED">
            <w:pPr>
              <w:pStyle w:val="ListParagraph"/>
              <w:numPr>
                <w:ilvl w:val="0"/>
                <w:numId w:val="14"/>
              </w:numPr>
              <w:spacing w:after="160" w:line="259" w:lineRule="auto"/>
              <w:rPr>
                <w:rFonts w:cs="Arial"/>
                <w:sz w:val="22"/>
                <w:szCs w:val="22"/>
              </w:rPr>
            </w:pPr>
            <w:r w:rsidRPr="00ED35ED">
              <w:rPr>
                <w:rFonts w:cs="Arial"/>
                <w:sz w:val="22"/>
                <w:szCs w:val="22"/>
              </w:rPr>
              <w:t xml:space="preserve">2022-23: Non PP 4.70, PP 3.88, Gap 0.82 </w:t>
            </w:r>
          </w:p>
          <w:p w14:paraId="01E1FF31" w14:textId="6F13AC87" w:rsidR="00782900" w:rsidRDefault="00782900" w:rsidP="00782900">
            <w:pPr>
              <w:pStyle w:val="ListParagraph"/>
              <w:numPr>
                <w:ilvl w:val="0"/>
                <w:numId w:val="14"/>
              </w:numPr>
              <w:spacing w:after="160" w:line="259" w:lineRule="auto"/>
              <w:rPr>
                <w:rFonts w:cs="Arial"/>
                <w:sz w:val="22"/>
                <w:szCs w:val="22"/>
              </w:rPr>
            </w:pPr>
            <w:r w:rsidRPr="00D141C2">
              <w:rPr>
                <w:rFonts w:cs="Arial"/>
                <w:sz w:val="22"/>
                <w:szCs w:val="22"/>
              </w:rPr>
              <w:t>2023-24</w:t>
            </w:r>
            <w:r w:rsidR="00D141C2" w:rsidRPr="00D141C2">
              <w:rPr>
                <w:rFonts w:cs="Arial"/>
                <w:sz w:val="22"/>
                <w:szCs w:val="22"/>
              </w:rPr>
              <w:t xml:space="preserve"> Non PP 4.8, PP 3.42, Gap 1.38</w:t>
            </w:r>
          </w:p>
          <w:p w14:paraId="7FD6D5A2" w14:textId="216BC3D9" w:rsidR="00F75CF7" w:rsidRPr="00600439" w:rsidRDefault="00F75CF7" w:rsidP="00782900">
            <w:pPr>
              <w:pStyle w:val="ListParagraph"/>
              <w:numPr>
                <w:ilvl w:val="0"/>
                <w:numId w:val="14"/>
              </w:numPr>
              <w:spacing w:after="160" w:line="259" w:lineRule="auto"/>
              <w:rPr>
                <w:rFonts w:cs="Arial"/>
                <w:color w:val="auto"/>
                <w:sz w:val="22"/>
                <w:szCs w:val="22"/>
              </w:rPr>
            </w:pPr>
            <w:r w:rsidRPr="00600439">
              <w:rPr>
                <w:rFonts w:cs="Arial"/>
                <w:color w:val="auto"/>
                <w:sz w:val="22"/>
                <w:szCs w:val="22"/>
              </w:rPr>
              <w:t xml:space="preserve">2024-25 Non PP </w:t>
            </w:r>
            <w:r w:rsidR="00522FF8" w:rsidRPr="00600439">
              <w:rPr>
                <w:rFonts w:cs="Arial"/>
                <w:color w:val="auto"/>
                <w:sz w:val="22"/>
                <w:szCs w:val="22"/>
              </w:rPr>
              <w:t>4.</w:t>
            </w:r>
            <w:r w:rsidR="00600439" w:rsidRPr="00600439">
              <w:rPr>
                <w:rFonts w:cs="Arial"/>
                <w:color w:val="auto"/>
                <w:sz w:val="22"/>
                <w:szCs w:val="22"/>
              </w:rPr>
              <w:t>11</w:t>
            </w:r>
            <w:r w:rsidR="00522FF8" w:rsidRPr="00600439">
              <w:rPr>
                <w:rFonts w:cs="Arial"/>
                <w:color w:val="auto"/>
                <w:sz w:val="22"/>
                <w:szCs w:val="22"/>
              </w:rPr>
              <w:t>, PP 3.</w:t>
            </w:r>
            <w:r w:rsidR="00600439" w:rsidRPr="00600439">
              <w:rPr>
                <w:rFonts w:cs="Arial"/>
                <w:color w:val="auto"/>
                <w:sz w:val="22"/>
                <w:szCs w:val="22"/>
              </w:rPr>
              <w:t>30</w:t>
            </w:r>
            <w:r w:rsidR="00522FF8" w:rsidRPr="00600439">
              <w:rPr>
                <w:rFonts w:cs="Arial"/>
                <w:color w:val="auto"/>
                <w:sz w:val="22"/>
                <w:szCs w:val="22"/>
              </w:rPr>
              <w:t xml:space="preserve">  Gap </w:t>
            </w:r>
            <w:r w:rsidR="0041144B" w:rsidRPr="00600439">
              <w:rPr>
                <w:rFonts w:cs="Arial"/>
                <w:color w:val="auto"/>
                <w:sz w:val="22"/>
                <w:szCs w:val="22"/>
              </w:rPr>
              <w:t>1.2</w:t>
            </w:r>
            <w:r w:rsidR="00600439" w:rsidRPr="00600439">
              <w:rPr>
                <w:rFonts w:cs="Arial"/>
                <w:color w:val="auto"/>
                <w:sz w:val="22"/>
                <w:szCs w:val="22"/>
              </w:rPr>
              <w:t>6</w:t>
            </w:r>
          </w:p>
          <w:p w14:paraId="2A7D550E" w14:textId="74D85698" w:rsidR="00782900" w:rsidRPr="00780D36" w:rsidRDefault="00782900" w:rsidP="00782900">
            <w:pPr>
              <w:pStyle w:val="ListParagraph"/>
              <w:numPr>
                <w:ilvl w:val="0"/>
                <w:numId w:val="0"/>
              </w:numPr>
              <w:spacing w:after="160" w:line="259" w:lineRule="auto"/>
              <w:ind w:left="720"/>
              <w:rPr>
                <w:rFonts w:cs="Arial"/>
                <w:b/>
                <w:bCs/>
                <w:i/>
                <w:iCs/>
                <w:sz w:val="22"/>
                <w:szCs w:val="22"/>
              </w:rPr>
            </w:pPr>
          </w:p>
        </w:tc>
      </w:tr>
      <w:tr w:rsidR="00F019BA" w14:paraId="24A75806" w14:textId="77777777" w:rsidTr="007148A3">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8F07A7B" w14:textId="4A7BB069" w:rsidR="00F019BA" w:rsidRDefault="00F257E6">
            <w:pPr>
              <w:pStyle w:val="TableRow"/>
              <w:rPr>
                <w:sz w:val="22"/>
                <w:szCs w:val="22"/>
              </w:rPr>
            </w:pPr>
            <w:r w:rsidRPr="3BDF0B8B">
              <w:rPr>
                <w:sz w:val="22"/>
                <w:szCs w:val="22"/>
              </w:rPr>
              <w:t>All D</w:t>
            </w:r>
            <w:r w:rsidR="00BE0B4E">
              <w:rPr>
                <w:sz w:val="22"/>
                <w:szCs w:val="22"/>
              </w:rPr>
              <w:t xml:space="preserve">P </w:t>
            </w:r>
            <w:r w:rsidRPr="3BDF0B8B">
              <w:rPr>
                <w:sz w:val="22"/>
                <w:szCs w:val="22"/>
              </w:rPr>
              <w:t xml:space="preserve">including those that are SPP and PP+ pupils to have high aspirations and secure outcomes to enable them to continue with the next steps in their education and/or employment.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6C0E75B" w14:textId="7AB11E16" w:rsidR="3BDF0B8B" w:rsidRPr="00D27ED2" w:rsidRDefault="081F0310" w:rsidP="4EEAC508">
            <w:pPr>
              <w:pStyle w:val="TableRowCentered"/>
              <w:jc w:val="left"/>
              <w:rPr>
                <w:sz w:val="22"/>
                <w:szCs w:val="22"/>
              </w:rPr>
            </w:pPr>
            <w:r w:rsidRPr="00D27ED2">
              <w:rPr>
                <w:sz w:val="22"/>
                <w:szCs w:val="22"/>
              </w:rPr>
              <w:t>Pupils follow an aspirational curriculum that offers depth and breadth.</w:t>
            </w:r>
          </w:p>
          <w:p w14:paraId="00E4739C" w14:textId="384E260F" w:rsidR="00F019BA" w:rsidRPr="000C5CB2" w:rsidRDefault="0CE441DA" w:rsidP="4EEAC508">
            <w:pPr>
              <w:pStyle w:val="TableRowCentered"/>
              <w:jc w:val="left"/>
              <w:rPr>
                <w:sz w:val="22"/>
                <w:szCs w:val="22"/>
              </w:rPr>
            </w:pPr>
            <w:r w:rsidRPr="00D27ED2">
              <w:rPr>
                <w:sz w:val="22"/>
                <w:szCs w:val="22"/>
              </w:rPr>
              <w:t xml:space="preserve">NEET figures for DP pupils </w:t>
            </w:r>
            <w:r w:rsidRPr="000C5CB2">
              <w:rPr>
                <w:sz w:val="22"/>
                <w:szCs w:val="22"/>
              </w:rPr>
              <w:t xml:space="preserve">to remain low </w:t>
            </w:r>
            <w:r w:rsidR="2A2BD126" w:rsidRPr="000C5CB2">
              <w:rPr>
                <w:sz w:val="22"/>
                <w:szCs w:val="22"/>
              </w:rPr>
              <w:t xml:space="preserve"> </w:t>
            </w:r>
            <w:r w:rsidR="000C5CB2" w:rsidRPr="00782900">
              <w:rPr>
                <w:sz w:val="22"/>
                <w:szCs w:val="22"/>
              </w:rPr>
              <w:t>2021</w:t>
            </w:r>
            <w:r w:rsidR="2A2BD126" w:rsidRPr="00782900">
              <w:rPr>
                <w:sz w:val="22"/>
                <w:szCs w:val="22"/>
              </w:rPr>
              <w:t xml:space="preserve"> NEET 0</w:t>
            </w:r>
            <w:r w:rsidR="006A764B" w:rsidRPr="00782900">
              <w:rPr>
                <w:sz w:val="22"/>
                <w:szCs w:val="22"/>
              </w:rPr>
              <w:t xml:space="preserve">. </w:t>
            </w:r>
            <w:r w:rsidR="00782900" w:rsidRPr="00782900">
              <w:rPr>
                <w:sz w:val="22"/>
                <w:szCs w:val="22"/>
              </w:rPr>
              <w:t>2022 NEET 1</w:t>
            </w:r>
            <w:r w:rsidR="00F00FB8">
              <w:rPr>
                <w:sz w:val="22"/>
                <w:szCs w:val="22"/>
              </w:rPr>
              <w:t>.</w:t>
            </w:r>
            <w:r w:rsidR="00782900" w:rsidRPr="00782900">
              <w:rPr>
                <w:sz w:val="22"/>
                <w:szCs w:val="22"/>
              </w:rPr>
              <w:t xml:space="preserve">18% (2 students) Wigan figure </w:t>
            </w:r>
            <w:r w:rsidR="00F00FB8">
              <w:rPr>
                <w:sz w:val="22"/>
                <w:szCs w:val="22"/>
              </w:rPr>
              <w:t xml:space="preserve">3.6% as of December 2024. </w:t>
            </w:r>
            <w:r w:rsidR="00782900" w:rsidRPr="00782900">
              <w:rPr>
                <w:sz w:val="22"/>
                <w:szCs w:val="22"/>
              </w:rPr>
              <w:t xml:space="preserve"> </w:t>
            </w:r>
          </w:p>
          <w:p w14:paraId="5B502E9A" w14:textId="77777777" w:rsidR="00F019BA" w:rsidRPr="00EE11EE" w:rsidRDefault="0CE441DA" w:rsidP="4EEAC508">
            <w:pPr>
              <w:pStyle w:val="TableRowCentered"/>
              <w:jc w:val="left"/>
              <w:rPr>
                <w:sz w:val="22"/>
                <w:szCs w:val="22"/>
              </w:rPr>
            </w:pPr>
            <w:r w:rsidRPr="00EE11EE">
              <w:rPr>
                <w:sz w:val="22"/>
                <w:szCs w:val="22"/>
              </w:rPr>
              <w:t xml:space="preserve">Attitude to learning levels in line with non-DP pupils. </w:t>
            </w:r>
          </w:p>
          <w:p w14:paraId="3C97BFD6" w14:textId="717B7A67" w:rsidR="00F019BA" w:rsidRDefault="0CE441DA" w:rsidP="4EEAC508">
            <w:pPr>
              <w:pStyle w:val="TableRowCentered"/>
              <w:jc w:val="left"/>
              <w:rPr>
                <w:sz w:val="22"/>
                <w:szCs w:val="22"/>
                <w:highlight w:val="yellow"/>
              </w:rPr>
            </w:pPr>
            <w:r w:rsidRPr="00EE11EE">
              <w:rPr>
                <w:sz w:val="22"/>
                <w:szCs w:val="22"/>
              </w:rPr>
              <w:t>Reduction in behaviour logs over time for identified DP pupils.</w:t>
            </w:r>
            <w:r w:rsidRPr="4EEAC508">
              <w:rPr>
                <w:sz w:val="22"/>
                <w:szCs w:val="22"/>
              </w:rPr>
              <w:t xml:space="preserve"> </w:t>
            </w:r>
          </w:p>
        </w:tc>
      </w:tr>
    </w:tbl>
    <w:p w14:paraId="2A06959E" w14:textId="2EFAE04F" w:rsidR="00120AB1" w:rsidRDefault="00120AB1">
      <w:pPr>
        <w:suppressAutoHyphens w:val="0"/>
        <w:spacing w:after="0" w:line="240" w:lineRule="auto"/>
        <w:rPr>
          <w:b/>
          <w:color w:val="104F75"/>
          <w:sz w:val="32"/>
          <w:szCs w:val="32"/>
        </w:rPr>
      </w:pPr>
    </w:p>
    <w:p w14:paraId="2A7D5512" w14:textId="7B489199" w:rsidR="00E66558" w:rsidRDefault="009D71E8">
      <w:pPr>
        <w:pStyle w:val="Heading2"/>
      </w:pPr>
      <w:r>
        <w:lastRenderedPageBreak/>
        <w:t>Activity in this academic year</w:t>
      </w:r>
    </w:p>
    <w:p w14:paraId="2A7D5513" w14:textId="266800AE" w:rsidR="00E66558" w:rsidRDefault="009D71E8">
      <w:pPr>
        <w:spacing w:after="480"/>
      </w:pPr>
      <w:r>
        <w:t xml:space="preserve">This details how we intend to spend our pupil premium </w:t>
      </w:r>
      <w:r>
        <w:rPr>
          <w:b/>
          <w:bCs/>
        </w:rPr>
        <w:t>this academic year</w:t>
      </w:r>
      <w:r>
        <w:t xml:space="preserve"> to address the challenges listed above.</w:t>
      </w:r>
    </w:p>
    <w:p w14:paraId="2A7D5514" w14:textId="7DC3D7CB" w:rsidR="00E66558" w:rsidRDefault="009D71E8">
      <w:pPr>
        <w:pStyle w:val="Heading3"/>
      </w:pPr>
      <w:r>
        <w:t xml:space="preserve">Teaching </w:t>
      </w:r>
    </w:p>
    <w:p w14:paraId="1557ED62" w14:textId="6A3E971D" w:rsidR="002E5897" w:rsidRDefault="009D71E8">
      <w:r>
        <w:t xml:space="preserve">Budgeted cost: </w:t>
      </w:r>
      <w:r w:rsidRPr="00AD2F5C">
        <w:rPr>
          <w:color w:val="auto"/>
        </w:rPr>
        <w:t>£</w:t>
      </w:r>
      <w:r w:rsidR="00475A20" w:rsidRPr="00AD2F5C">
        <w:rPr>
          <w:color w:val="auto"/>
        </w:rPr>
        <w:t>1</w:t>
      </w:r>
      <w:r w:rsidR="00431343" w:rsidRPr="00AD2F5C">
        <w:rPr>
          <w:color w:val="auto"/>
        </w:rPr>
        <w:t>15 635</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66558" w14:paraId="2A7D551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A" w14:textId="005B162D" w:rsidR="00E66558" w:rsidRPr="00015314" w:rsidRDefault="00015314">
            <w:pPr>
              <w:pStyle w:val="TableRow"/>
            </w:pPr>
            <w:r w:rsidRPr="00015314">
              <w:rPr>
                <w:sz w:val="22"/>
                <w:szCs w:val="22"/>
              </w:rPr>
              <w:t xml:space="preserve">Retention of </w:t>
            </w:r>
            <w:r>
              <w:rPr>
                <w:sz w:val="22"/>
                <w:szCs w:val="22"/>
              </w:rPr>
              <w:t>internal intervention team comprising of English, Maths and Science teachers.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B" w14:textId="4A337A65" w:rsidR="00E66558" w:rsidRDefault="00030C38">
            <w:pPr>
              <w:pStyle w:val="TableRowCentered"/>
              <w:jc w:val="left"/>
              <w:rPr>
                <w:sz w:val="22"/>
              </w:rPr>
            </w:pPr>
            <w:r>
              <w:rPr>
                <w:sz w:val="22"/>
              </w:rPr>
              <w:t>EEF Guide to the Pupil Premium.</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10AB8262" w:rsidR="00E66558" w:rsidRDefault="00986CA1">
            <w:pPr>
              <w:pStyle w:val="TableRowCentered"/>
              <w:jc w:val="left"/>
              <w:rPr>
                <w:sz w:val="22"/>
              </w:rPr>
            </w:pPr>
            <w:r>
              <w:rPr>
                <w:sz w:val="22"/>
              </w:rPr>
              <w:t>1-5</w:t>
            </w:r>
          </w:p>
        </w:tc>
      </w:tr>
      <w:tr w:rsidR="00E66558" w14:paraId="2A7D552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60652" w14:textId="5F131B3E" w:rsidR="00E66558" w:rsidRDefault="00A675CE">
            <w:pPr>
              <w:pStyle w:val="TableRow"/>
              <w:rPr>
                <w:iCs/>
                <w:sz w:val="22"/>
              </w:rPr>
            </w:pPr>
            <w:r>
              <w:rPr>
                <w:iCs/>
                <w:sz w:val="22"/>
              </w:rPr>
              <w:t xml:space="preserve">Continue to improve consistency in Teaching and Learning with a specific focus on swift improvements in </w:t>
            </w:r>
            <w:r w:rsidR="00AD2F5C">
              <w:rPr>
                <w:iCs/>
                <w:sz w:val="22"/>
              </w:rPr>
              <w:t xml:space="preserve">Maths, English &amp; </w:t>
            </w:r>
            <w:r>
              <w:rPr>
                <w:iCs/>
                <w:sz w:val="22"/>
              </w:rPr>
              <w:t>EBacc subjects</w:t>
            </w:r>
            <w:r w:rsidR="006247AA">
              <w:rPr>
                <w:iCs/>
                <w:sz w:val="22"/>
              </w:rPr>
              <w:t>.</w:t>
            </w:r>
          </w:p>
          <w:p w14:paraId="2A7D551E" w14:textId="10723373" w:rsidR="006247AA" w:rsidRPr="00A675CE" w:rsidRDefault="006247AA">
            <w:pPr>
              <w:pStyle w:val="TableRow"/>
              <w:rPr>
                <w:iCs/>
                <w:sz w:val="22"/>
              </w:rPr>
            </w:pPr>
            <w:r>
              <w:rPr>
                <w:iCs/>
                <w:sz w:val="22"/>
              </w:rPr>
              <w:t xml:space="preserve">Increased numbers in grades 4 and 5 across all subjects.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76DED" w14:textId="77777777" w:rsidR="00E66558" w:rsidRDefault="00030C38">
            <w:pPr>
              <w:pStyle w:val="TableRowCentered"/>
              <w:jc w:val="left"/>
              <w:rPr>
                <w:sz w:val="22"/>
              </w:rPr>
            </w:pPr>
            <w:r>
              <w:rPr>
                <w:sz w:val="22"/>
              </w:rPr>
              <w:t xml:space="preserve">EEF Guide to the Pupil Premium </w:t>
            </w:r>
          </w:p>
          <w:p w14:paraId="3605BE11" w14:textId="57129A35" w:rsidR="00030C38" w:rsidRDefault="0099054F">
            <w:pPr>
              <w:pStyle w:val="TableRowCentered"/>
              <w:jc w:val="left"/>
              <w:rPr>
                <w:sz w:val="22"/>
              </w:rPr>
            </w:pPr>
            <w:r>
              <w:rPr>
                <w:sz w:val="22"/>
              </w:rPr>
              <w:t xml:space="preserve">EEF Guidance Report: Teacher Feedback to Improve Pupil Learning. </w:t>
            </w:r>
          </w:p>
          <w:p w14:paraId="293B0B33" w14:textId="77777777" w:rsidR="000A298F" w:rsidRDefault="000A298F">
            <w:pPr>
              <w:pStyle w:val="TableRowCentered"/>
              <w:jc w:val="left"/>
              <w:rPr>
                <w:sz w:val="22"/>
              </w:rPr>
            </w:pPr>
            <w:r>
              <w:rPr>
                <w:sz w:val="22"/>
              </w:rPr>
              <w:t xml:space="preserve">EEF Toolkit: Homework </w:t>
            </w:r>
          </w:p>
          <w:p w14:paraId="536F856A" w14:textId="77777777" w:rsidR="000A298F" w:rsidRDefault="000A298F">
            <w:pPr>
              <w:pStyle w:val="TableRowCentered"/>
              <w:jc w:val="left"/>
              <w:rPr>
                <w:sz w:val="22"/>
              </w:rPr>
            </w:pPr>
            <w:r>
              <w:rPr>
                <w:sz w:val="22"/>
              </w:rPr>
              <w:t xml:space="preserve">EEF: Collaborative Learning Approaches </w:t>
            </w:r>
          </w:p>
          <w:p w14:paraId="2A7D551F" w14:textId="6BF33971" w:rsidR="000A298F" w:rsidRDefault="000A298F">
            <w:pPr>
              <w:pStyle w:val="TableRowCentered"/>
              <w:jc w:val="left"/>
              <w:rPr>
                <w:sz w:val="22"/>
              </w:rPr>
            </w:pPr>
            <w:r>
              <w:rPr>
                <w:sz w:val="22"/>
              </w:rPr>
              <w:t>EEF: Oral Language Interventions.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765FC7CA" w:rsidR="00E66558" w:rsidRDefault="00986CA1">
            <w:pPr>
              <w:pStyle w:val="TableRowCentered"/>
              <w:jc w:val="left"/>
              <w:rPr>
                <w:sz w:val="22"/>
              </w:rPr>
            </w:pPr>
            <w:r>
              <w:rPr>
                <w:sz w:val="22"/>
              </w:rPr>
              <w:t>1-5</w:t>
            </w:r>
          </w:p>
        </w:tc>
      </w:tr>
      <w:tr w:rsidR="00A675CE" w14:paraId="3FC5DD3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0060B5" w14:textId="36211CB2" w:rsidR="00A675CE" w:rsidRDefault="00A675CE">
            <w:pPr>
              <w:pStyle w:val="TableRow"/>
              <w:rPr>
                <w:iCs/>
                <w:sz w:val="22"/>
              </w:rPr>
            </w:pPr>
            <w:r>
              <w:rPr>
                <w:iCs/>
                <w:sz w:val="22"/>
              </w:rPr>
              <w:t xml:space="preserve">Effective use of departmental CPD to diagnose student </w:t>
            </w:r>
            <w:r w:rsidR="007F5620">
              <w:rPr>
                <w:iCs/>
                <w:sz w:val="22"/>
              </w:rPr>
              <w:t>need,</w:t>
            </w:r>
            <w:r>
              <w:rPr>
                <w:iCs/>
                <w:sz w:val="22"/>
              </w:rPr>
              <w:t xml:space="preserve"> plan and implement therapy to </w:t>
            </w:r>
            <w:r w:rsidR="007F5620">
              <w:rPr>
                <w:iCs/>
                <w:sz w:val="22"/>
              </w:rPr>
              <w:t>successfully</w:t>
            </w:r>
            <w:r>
              <w:rPr>
                <w:iCs/>
                <w:sz w:val="22"/>
              </w:rPr>
              <w:t xml:space="preserve"> close gaps in learning.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AD57A" w14:textId="69EB05CD" w:rsidR="00A675CE" w:rsidRDefault="008E4451">
            <w:pPr>
              <w:pStyle w:val="TableRowCentered"/>
              <w:jc w:val="left"/>
              <w:rPr>
                <w:sz w:val="22"/>
              </w:rPr>
            </w:pPr>
            <w:r>
              <w:rPr>
                <w:sz w:val="22"/>
              </w:rPr>
              <w:t xml:space="preserve">EEF Evidence Insights: Diagnostic Assessment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5502" w14:textId="1E5789A4" w:rsidR="00A675CE" w:rsidRDefault="00986CA1">
            <w:pPr>
              <w:pStyle w:val="TableRowCentered"/>
              <w:jc w:val="left"/>
              <w:rPr>
                <w:sz w:val="22"/>
              </w:rPr>
            </w:pPr>
            <w:r>
              <w:rPr>
                <w:sz w:val="22"/>
              </w:rPr>
              <w:t>1-5</w:t>
            </w:r>
          </w:p>
        </w:tc>
      </w:tr>
      <w:tr w:rsidR="00103C93" w14:paraId="4678603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37735" w14:textId="41930B63" w:rsidR="00103C93" w:rsidRDefault="00103C93">
            <w:pPr>
              <w:pStyle w:val="TableRow"/>
              <w:rPr>
                <w:iCs/>
                <w:sz w:val="22"/>
              </w:rPr>
            </w:pPr>
            <w:r>
              <w:rPr>
                <w:iCs/>
                <w:sz w:val="22"/>
              </w:rPr>
              <w:t xml:space="preserve">Purchase of MyOn &amp; AR to reduce gap between reading age and chronological age whilst promoting a love of reading.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706B46" w14:textId="6CEF9377" w:rsidR="00103C93" w:rsidRDefault="00030C38">
            <w:pPr>
              <w:pStyle w:val="TableRowCentered"/>
              <w:jc w:val="left"/>
              <w:rPr>
                <w:sz w:val="22"/>
              </w:rPr>
            </w:pPr>
            <w:r>
              <w:rPr>
                <w:sz w:val="22"/>
              </w:rPr>
              <w:t xml:space="preserve">EEF Guidance Report: Improving </w:t>
            </w:r>
            <w:r w:rsidR="008E4451">
              <w:rPr>
                <w:sz w:val="22"/>
              </w:rPr>
              <w:t>Li</w:t>
            </w:r>
            <w:r>
              <w:rPr>
                <w:sz w:val="22"/>
              </w:rPr>
              <w:t xml:space="preserve">teracy in </w:t>
            </w:r>
            <w:r w:rsidR="008E4451">
              <w:rPr>
                <w:sz w:val="22"/>
              </w:rPr>
              <w:t>S</w:t>
            </w:r>
            <w:r>
              <w:rPr>
                <w:sz w:val="22"/>
              </w:rPr>
              <w:t xml:space="preserve">chools. </w:t>
            </w:r>
          </w:p>
          <w:p w14:paraId="3DF94054" w14:textId="54030107" w:rsidR="000A298F" w:rsidRDefault="000A298F">
            <w:pPr>
              <w:pStyle w:val="TableRowCentered"/>
              <w:jc w:val="left"/>
              <w:rPr>
                <w:sz w:val="22"/>
              </w:rPr>
            </w:pPr>
            <w:r>
              <w:rPr>
                <w:sz w:val="22"/>
              </w:rPr>
              <w:t xml:space="preserve">EEF Toolkit: Reading Comprehension Strategies </w:t>
            </w:r>
          </w:p>
          <w:p w14:paraId="0FA131A1" w14:textId="2A5339BF" w:rsidR="000A298F" w:rsidRDefault="000A298F">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9AD41" w14:textId="37475279" w:rsidR="00103C93" w:rsidRDefault="00986CA1">
            <w:pPr>
              <w:pStyle w:val="TableRowCentered"/>
              <w:jc w:val="left"/>
              <w:rPr>
                <w:sz w:val="22"/>
              </w:rPr>
            </w:pPr>
            <w:r>
              <w:rPr>
                <w:sz w:val="22"/>
              </w:rPr>
              <w:t>3, 4</w:t>
            </w:r>
          </w:p>
        </w:tc>
      </w:tr>
      <w:tr w:rsidR="00CC0E2B" w14:paraId="2D7069D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6DA00" w14:textId="575376C7" w:rsidR="00CC0E2B" w:rsidRDefault="00CC0E2B" w:rsidP="00CC0E2B">
            <w:pPr>
              <w:pStyle w:val="TableRow"/>
              <w:rPr>
                <w:iCs/>
                <w:sz w:val="22"/>
              </w:rPr>
            </w:pPr>
            <w:r>
              <w:rPr>
                <w:iCs/>
                <w:sz w:val="22"/>
              </w:rPr>
              <w:t xml:space="preserve">Purchase of “sparx” in English and Maths to aid independence in students when completing homework / studying for examinations.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F62BA" w14:textId="77777777" w:rsidR="00CC0E2B" w:rsidRDefault="00CC0E2B" w:rsidP="00CC0E2B">
            <w:pPr>
              <w:pStyle w:val="TableRowCentered"/>
              <w:jc w:val="left"/>
              <w:rPr>
                <w:sz w:val="22"/>
              </w:rPr>
            </w:pPr>
            <w:r>
              <w:rPr>
                <w:sz w:val="22"/>
              </w:rPr>
              <w:t xml:space="preserve">EEF Toolkit: Homework </w:t>
            </w:r>
          </w:p>
          <w:p w14:paraId="4AA5F729" w14:textId="77777777" w:rsidR="00CC0E2B" w:rsidRDefault="00CC0E2B" w:rsidP="00CC0E2B">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7AC78" w14:textId="3C4DE836" w:rsidR="00CC0E2B" w:rsidRDefault="00CC0E2B" w:rsidP="00CC0E2B">
            <w:pPr>
              <w:pStyle w:val="TableRowCentered"/>
              <w:jc w:val="left"/>
              <w:rPr>
                <w:sz w:val="22"/>
              </w:rPr>
            </w:pPr>
            <w:r>
              <w:rPr>
                <w:sz w:val="22"/>
              </w:rPr>
              <w:t xml:space="preserve">1, 2, 3, 4 &amp; 5. </w:t>
            </w:r>
          </w:p>
        </w:tc>
      </w:tr>
      <w:tr w:rsidR="00CC0E2B" w14:paraId="60580353"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1639B" w14:textId="767EBD12" w:rsidR="00CC0E2B" w:rsidRDefault="00CC0E2B" w:rsidP="00CC0E2B">
            <w:pPr>
              <w:pStyle w:val="TableRow"/>
              <w:rPr>
                <w:iCs/>
                <w:sz w:val="22"/>
              </w:rPr>
            </w:pPr>
            <w:r>
              <w:rPr>
                <w:iCs/>
                <w:sz w:val="22"/>
              </w:rPr>
              <w:t xml:space="preserve">More able coordinator and subsequent plan leading to improvements in strength and depth in </w:t>
            </w:r>
            <w:r>
              <w:rPr>
                <w:iCs/>
                <w:sz w:val="22"/>
              </w:rPr>
              <w:lastRenderedPageBreak/>
              <w:t xml:space="preserve">the classroom resulting in high levels of attainment and progress for these pupils.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56FAF8" w14:textId="78840F31" w:rsidR="00CC0E2B" w:rsidRDefault="00CC0E2B" w:rsidP="00CC0E2B">
            <w:pPr>
              <w:pStyle w:val="TableRowCentered"/>
              <w:jc w:val="left"/>
              <w:rPr>
                <w:sz w:val="22"/>
              </w:rPr>
            </w:pPr>
            <w:r>
              <w:rPr>
                <w:sz w:val="22"/>
              </w:rPr>
              <w:lastRenderedPageBreak/>
              <w:t xml:space="preserve">EEF Toolkit: Individualised Instruction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69E6A" w14:textId="11C11EE4" w:rsidR="00CC0E2B" w:rsidRDefault="00CC0E2B" w:rsidP="00CC0E2B">
            <w:pPr>
              <w:pStyle w:val="TableRowCentered"/>
              <w:jc w:val="left"/>
              <w:rPr>
                <w:sz w:val="22"/>
              </w:rPr>
            </w:pPr>
            <w:r>
              <w:rPr>
                <w:sz w:val="22"/>
              </w:rPr>
              <w:t xml:space="preserve">1, 2, 3, 4 &amp; 5. </w:t>
            </w:r>
          </w:p>
        </w:tc>
      </w:tr>
    </w:tbl>
    <w:p w14:paraId="539144D7" w14:textId="77777777" w:rsidR="00D27D2F" w:rsidRDefault="00D27D2F">
      <w:pPr>
        <w:rPr>
          <w:b/>
          <w:bCs/>
          <w:color w:val="104F75"/>
          <w:sz w:val="28"/>
          <w:szCs w:val="28"/>
        </w:rPr>
      </w:pPr>
    </w:p>
    <w:p w14:paraId="2A7D5523" w14:textId="60EBDD2F" w:rsidR="00E66558" w:rsidRDefault="009D71E8">
      <w:pPr>
        <w:rPr>
          <w:b/>
          <w:bCs/>
          <w:color w:val="104F75"/>
          <w:sz w:val="28"/>
          <w:szCs w:val="28"/>
        </w:rPr>
      </w:pPr>
      <w:r>
        <w:rPr>
          <w:b/>
          <w:bCs/>
          <w:color w:val="104F75"/>
          <w:sz w:val="28"/>
          <w:szCs w:val="28"/>
        </w:rPr>
        <w:t xml:space="preserve">Targeted academic support </w:t>
      </w:r>
    </w:p>
    <w:p w14:paraId="4790D163" w14:textId="0E8FE6F7" w:rsidR="00D76DAC" w:rsidRPr="00AD2F5C" w:rsidRDefault="009D71E8" w:rsidP="4EEAC508">
      <w:pPr>
        <w:rPr>
          <w:i/>
          <w:iCs/>
          <w:color w:val="auto"/>
        </w:rPr>
      </w:pPr>
      <w:r>
        <w:t xml:space="preserve">Budgeted </w:t>
      </w:r>
      <w:r w:rsidRPr="00AD2F5C">
        <w:rPr>
          <w:color w:val="auto"/>
        </w:rPr>
        <w:t xml:space="preserve">cost: </w:t>
      </w:r>
      <w:r w:rsidR="00D76DAC" w:rsidRPr="00AD2F5C">
        <w:rPr>
          <w:i/>
          <w:iCs/>
          <w:color w:val="auto"/>
        </w:rPr>
        <w:t>£</w:t>
      </w:r>
      <w:r w:rsidR="005129B1" w:rsidRPr="00AD2F5C">
        <w:rPr>
          <w:i/>
          <w:iCs/>
          <w:color w:val="auto"/>
        </w:rPr>
        <w:t>1</w:t>
      </w:r>
      <w:r w:rsidR="00431343" w:rsidRPr="00AD2F5C">
        <w:rPr>
          <w:i/>
          <w:iCs/>
          <w:color w:val="auto"/>
        </w:rPr>
        <w:t>05 000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rsidTr="3BDF0B8B">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E66558" w14:paraId="2A7D552C" w14:textId="77777777" w:rsidTr="3BDF0B8B">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29" w14:textId="40673E16" w:rsidR="00E66558" w:rsidRDefault="009B5EA5">
            <w:pPr>
              <w:pStyle w:val="TableRow"/>
            </w:pPr>
            <w:r>
              <w:t>Small group intervention programme for identified students via in house English, Maths</w:t>
            </w:r>
            <w:r w:rsidR="00A52727">
              <w:t xml:space="preserve">, </w:t>
            </w:r>
            <w:r>
              <w:t>Science</w:t>
            </w:r>
            <w:r w:rsidR="00723DF1">
              <w:t>,</w:t>
            </w:r>
            <w:r w:rsidR="00A52727">
              <w:t xml:space="preserve"> SEND</w:t>
            </w:r>
            <w:r w:rsidR="00723DF1">
              <w:t xml:space="preserve"> &amp; EBSA</w:t>
            </w:r>
            <w:r w:rsidR="00A52727">
              <w:t xml:space="preserve"> </w:t>
            </w:r>
            <w:r>
              <w:t>intervention team.</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16ECAC0" w14:textId="6A52A9FA" w:rsidR="00E66558" w:rsidRDefault="008E4451" w:rsidP="009B5EA5">
            <w:pPr>
              <w:pStyle w:val="TableRowCentered"/>
              <w:ind w:left="0"/>
              <w:jc w:val="left"/>
              <w:rPr>
                <w:sz w:val="22"/>
              </w:rPr>
            </w:pPr>
            <w:r>
              <w:rPr>
                <w:sz w:val="22"/>
              </w:rPr>
              <w:t xml:space="preserve">EEF Toolkit: Reading Comprehension Strategies </w:t>
            </w:r>
          </w:p>
          <w:p w14:paraId="004FD00A" w14:textId="4D3D24C7" w:rsidR="008E4451" w:rsidRDefault="008E4451" w:rsidP="009B5EA5">
            <w:pPr>
              <w:pStyle w:val="TableRowCentered"/>
              <w:ind w:left="0"/>
              <w:jc w:val="left"/>
              <w:rPr>
                <w:sz w:val="22"/>
              </w:rPr>
            </w:pPr>
            <w:r>
              <w:rPr>
                <w:sz w:val="22"/>
              </w:rPr>
              <w:t xml:space="preserve">EEF Toolkit: Small Group Tuition </w:t>
            </w:r>
          </w:p>
          <w:p w14:paraId="3DB8D783" w14:textId="4E122F5B" w:rsidR="008E4451" w:rsidRDefault="008E4451" w:rsidP="009B5EA5">
            <w:pPr>
              <w:pStyle w:val="TableRowCentered"/>
              <w:ind w:left="0"/>
              <w:jc w:val="left"/>
              <w:rPr>
                <w:sz w:val="22"/>
              </w:rPr>
            </w:pPr>
            <w:r>
              <w:rPr>
                <w:sz w:val="22"/>
              </w:rPr>
              <w:t xml:space="preserve">EEF Toolkit: Extending School Time </w:t>
            </w:r>
          </w:p>
          <w:p w14:paraId="2AAF8569" w14:textId="0AEFFA79" w:rsidR="00A52727" w:rsidRDefault="00A52727" w:rsidP="009B5EA5">
            <w:pPr>
              <w:pStyle w:val="TableRowCentered"/>
              <w:ind w:left="0"/>
              <w:jc w:val="left"/>
              <w:rPr>
                <w:sz w:val="22"/>
              </w:rPr>
            </w:pPr>
            <w:r>
              <w:rPr>
                <w:sz w:val="22"/>
              </w:rPr>
              <w:t xml:space="preserve">EEF Guidance Reports: Use of Teaching Assistants. </w:t>
            </w:r>
          </w:p>
          <w:p w14:paraId="3368B5AC" w14:textId="6EE985CE" w:rsidR="006F57D5" w:rsidRDefault="006F57D5" w:rsidP="009B5EA5">
            <w:pPr>
              <w:pStyle w:val="TableRowCentered"/>
              <w:ind w:left="0"/>
              <w:jc w:val="left"/>
              <w:rPr>
                <w:sz w:val="22"/>
              </w:rPr>
            </w:pPr>
            <w:r>
              <w:rPr>
                <w:sz w:val="22"/>
              </w:rPr>
              <w:t>EEF Toolkit: Teaching Assistant Interventions.</w:t>
            </w:r>
          </w:p>
          <w:p w14:paraId="2A7D552A" w14:textId="4D25E27E" w:rsidR="009B5EA5" w:rsidRDefault="009B5EA5">
            <w:pPr>
              <w:pStyle w:val="TableRowCentered"/>
              <w:jc w:val="left"/>
              <w:rPr>
                <w:sz w:val="22"/>
              </w:rPr>
            </w:pP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2B" w14:textId="0FFF0FBA" w:rsidR="00E66558" w:rsidRPr="009B5EA5" w:rsidRDefault="00986CA1">
            <w:pPr>
              <w:pStyle w:val="TableRowCentered"/>
              <w:jc w:val="left"/>
            </w:pPr>
            <w:r>
              <w:rPr>
                <w:sz w:val="22"/>
              </w:rPr>
              <w:t xml:space="preserve">1, </w:t>
            </w:r>
            <w:r w:rsidR="009B5EA5">
              <w:rPr>
                <w:sz w:val="22"/>
              </w:rPr>
              <w:t xml:space="preserve">2, 3 </w:t>
            </w:r>
            <w:r w:rsidR="009B5EA5">
              <w:t xml:space="preserve">&amp; 4 </w:t>
            </w:r>
          </w:p>
        </w:tc>
      </w:tr>
      <w:tr w:rsidR="002E110F" w14:paraId="631C4501" w14:textId="77777777" w:rsidTr="3BDF0B8B">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65C1957" w14:textId="06268B53" w:rsidR="002E110F" w:rsidRDefault="002E110F">
            <w:pPr>
              <w:pStyle w:val="TableRow"/>
            </w:pPr>
            <w:r>
              <w:t xml:space="preserve">Teaching and intervention provision in the learning base.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F320B71" w14:textId="77777777" w:rsidR="002E110F" w:rsidRDefault="002E110F" w:rsidP="002E110F">
            <w:pPr>
              <w:pStyle w:val="TableRowCentered"/>
              <w:ind w:left="0"/>
              <w:jc w:val="left"/>
              <w:rPr>
                <w:sz w:val="22"/>
              </w:rPr>
            </w:pPr>
            <w:r>
              <w:rPr>
                <w:sz w:val="22"/>
              </w:rPr>
              <w:t xml:space="preserve">EEF Toolkit: Small Group Tuition </w:t>
            </w:r>
          </w:p>
          <w:p w14:paraId="4087B37F" w14:textId="77777777" w:rsidR="002E110F" w:rsidRDefault="002E110F" w:rsidP="002E110F">
            <w:pPr>
              <w:pStyle w:val="TableRowCentered"/>
              <w:ind w:left="0"/>
              <w:jc w:val="left"/>
              <w:rPr>
                <w:sz w:val="22"/>
              </w:rPr>
            </w:pPr>
            <w:r>
              <w:rPr>
                <w:sz w:val="22"/>
              </w:rPr>
              <w:t xml:space="preserve">EEF Guidance Reports: Use of Teaching Assistants. </w:t>
            </w:r>
          </w:p>
          <w:p w14:paraId="1644D5C1" w14:textId="166FA10C" w:rsidR="002E110F" w:rsidRDefault="002E110F" w:rsidP="009B5EA5">
            <w:pPr>
              <w:pStyle w:val="TableRowCentered"/>
              <w:ind w:left="0"/>
              <w:jc w:val="left"/>
              <w:rPr>
                <w:sz w:val="22"/>
              </w:rPr>
            </w:pPr>
            <w:r>
              <w:rPr>
                <w:sz w:val="22"/>
              </w:rPr>
              <w:t>EEF Toolkit: Teaching Assistant Interventions.</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9C91AF6" w14:textId="022B63AF" w:rsidR="002E110F" w:rsidRDefault="00986CA1">
            <w:pPr>
              <w:pStyle w:val="TableRowCentered"/>
              <w:jc w:val="left"/>
              <w:rPr>
                <w:sz w:val="22"/>
              </w:rPr>
            </w:pPr>
            <w:r>
              <w:rPr>
                <w:sz w:val="22"/>
              </w:rPr>
              <w:t>1-5</w:t>
            </w:r>
          </w:p>
        </w:tc>
      </w:tr>
      <w:tr w:rsidR="005C4614" w14:paraId="02ACBC94" w14:textId="77777777" w:rsidTr="3BDF0B8B">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54526E2" w14:textId="27085F03" w:rsidR="005C4614" w:rsidRDefault="005C4614">
            <w:pPr>
              <w:pStyle w:val="TableRow"/>
              <w:rPr>
                <w:iCs/>
                <w:sz w:val="22"/>
              </w:rPr>
            </w:pPr>
            <w:r>
              <w:rPr>
                <w:iCs/>
                <w:sz w:val="22"/>
              </w:rPr>
              <w:t xml:space="preserve">Catch-up provision for pupils identified as not secondary ready in </w:t>
            </w:r>
            <w:r w:rsidR="00DB4B0D">
              <w:rPr>
                <w:iCs/>
                <w:sz w:val="22"/>
              </w:rPr>
              <w:t xml:space="preserve">English and Maths.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D9289B4" w14:textId="77777777" w:rsidR="005C4614" w:rsidRDefault="008E4451" w:rsidP="008E4451">
            <w:pPr>
              <w:pStyle w:val="TableRowCentered"/>
              <w:ind w:left="0"/>
              <w:jc w:val="left"/>
              <w:rPr>
                <w:sz w:val="22"/>
              </w:rPr>
            </w:pPr>
            <w:r>
              <w:rPr>
                <w:sz w:val="22"/>
              </w:rPr>
              <w:t xml:space="preserve">EEF Toolkit: Individualised Instruction </w:t>
            </w:r>
          </w:p>
          <w:p w14:paraId="08F17948" w14:textId="4D70B29C" w:rsidR="000A298F" w:rsidRDefault="000A298F" w:rsidP="008E4451">
            <w:pPr>
              <w:pStyle w:val="TableRowCentered"/>
              <w:ind w:left="0"/>
              <w:jc w:val="left"/>
              <w:rPr>
                <w:sz w:val="22"/>
              </w:rPr>
            </w:pPr>
            <w:r>
              <w:rPr>
                <w:sz w:val="22"/>
              </w:rPr>
              <w:t>EEF Toolkit: Phonics</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2C67614" w14:textId="67B215FC" w:rsidR="005C4614" w:rsidRDefault="00DB4B0D">
            <w:pPr>
              <w:pStyle w:val="TableRowCentered"/>
              <w:jc w:val="left"/>
              <w:rPr>
                <w:sz w:val="22"/>
              </w:rPr>
            </w:pPr>
            <w:r>
              <w:rPr>
                <w:sz w:val="22"/>
              </w:rPr>
              <w:t xml:space="preserve">2, 3 &amp; 4. </w:t>
            </w:r>
          </w:p>
        </w:tc>
      </w:tr>
    </w:tbl>
    <w:p w14:paraId="2A7D5531" w14:textId="77777777" w:rsidR="00E66558" w:rsidRDefault="00E66558">
      <w:pPr>
        <w:spacing w:after="0"/>
        <w:rPr>
          <w:b/>
          <w:color w:val="104F75"/>
          <w:sz w:val="28"/>
          <w:szCs w:val="28"/>
        </w:rPr>
      </w:pPr>
    </w:p>
    <w:p w14:paraId="2A7D5532" w14:textId="3F240CF2" w:rsidR="00E66558" w:rsidRDefault="009D71E8">
      <w:pPr>
        <w:rPr>
          <w:b/>
          <w:color w:val="104F75"/>
          <w:sz w:val="28"/>
          <w:szCs w:val="28"/>
        </w:rPr>
      </w:pPr>
      <w:r>
        <w:rPr>
          <w:b/>
          <w:color w:val="104F75"/>
          <w:sz w:val="28"/>
          <w:szCs w:val="28"/>
        </w:rPr>
        <w:t xml:space="preserve">Wider strategies </w:t>
      </w:r>
    </w:p>
    <w:p w14:paraId="07F55CBC" w14:textId="56094C8D" w:rsidR="009D71E8" w:rsidRDefault="009D71E8" w:rsidP="4EEAC508">
      <w:pPr>
        <w:spacing w:before="240" w:after="120"/>
      </w:pPr>
      <w:r>
        <w:t>Budgeted cost</w:t>
      </w:r>
      <w:r w:rsidRPr="00AD2F5C">
        <w:rPr>
          <w:color w:val="auto"/>
        </w:rPr>
        <w:t>: £</w:t>
      </w:r>
      <w:r w:rsidR="00475A20" w:rsidRPr="00AD2F5C">
        <w:rPr>
          <w:color w:val="auto"/>
        </w:rPr>
        <w:t>2</w:t>
      </w:r>
      <w:r w:rsidR="00431343" w:rsidRPr="00AD2F5C">
        <w:rPr>
          <w:color w:val="auto"/>
        </w:rPr>
        <w:t>09 000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rsidTr="3BDF0B8B">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B" w14:textId="77777777" w:rsidTr="3BDF0B8B">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38" w14:textId="01E18DF0" w:rsidR="00E66558" w:rsidRPr="00DB4B0D" w:rsidRDefault="3D5EFD8F">
            <w:pPr>
              <w:pStyle w:val="TableRow"/>
            </w:pPr>
            <w:r w:rsidRPr="3BDF0B8B">
              <w:rPr>
                <w:sz w:val="22"/>
                <w:szCs w:val="22"/>
              </w:rPr>
              <w:t xml:space="preserve">Increased capacity within attendance team with addition </w:t>
            </w:r>
            <w:r w:rsidR="006A764B" w:rsidRPr="3BDF0B8B">
              <w:rPr>
                <w:sz w:val="22"/>
                <w:szCs w:val="22"/>
              </w:rPr>
              <w:t>of attendance</w:t>
            </w:r>
            <w:r w:rsidRPr="3BDF0B8B">
              <w:rPr>
                <w:sz w:val="22"/>
                <w:szCs w:val="22"/>
              </w:rPr>
              <w:t xml:space="preserve"> officer.</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74ABCE6" w14:textId="77777777" w:rsidR="00E66558" w:rsidRDefault="00563CC5">
            <w:pPr>
              <w:pStyle w:val="TableRowCentered"/>
              <w:jc w:val="left"/>
              <w:rPr>
                <w:sz w:val="22"/>
              </w:rPr>
            </w:pPr>
            <w:r>
              <w:rPr>
                <w:sz w:val="22"/>
              </w:rPr>
              <w:t xml:space="preserve">EEF </w:t>
            </w:r>
            <w:r w:rsidR="006F57D5">
              <w:rPr>
                <w:sz w:val="22"/>
              </w:rPr>
              <w:t>Guide to the Pupil Premium.</w:t>
            </w:r>
          </w:p>
          <w:p w14:paraId="0AD5C7D0" w14:textId="77777777" w:rsidR="006F57D5" w:rsidRDefault="006F57D5">
            <w:pPr>
              <w:pStyle w:val="TableRowCentered"/>
              <w:jc w:val="left"/>
              <w:rPr>
                <w:sz w:val="22"/>
              </w:rPr>
            </w:pPr>
            <w:r>
              <w:rPr>
                <w:sz w:val="22"/>
              </w:rPr>
              <w:t xml:space="preserve">EEF Toolkit: Parental Engagement. </w:t>
            </w:r>
          </w:p>
          <w:p w14:paraId="2A7D5539" w14:textId="087D8432" w:rsidR="000A298F" w:rsidRDefault="000A298F">
            <w:pPr>
              <w:pStyle w:val="TableRowCentered"/>
              <w:jc w:val="left"/>
              <w:rPr>
                <w:sz w:val="22"/>
              </w:rPr>
            </w:pPr>
            <w:r>
              <w:rPr>
                <w:sz w:val="22"/>
              </w:rPr>
              <w:t xml:space="preserve">EEF Toolkit: Social and Emotional Learning. </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3A" w14:textId="6AD3862F" w:rsidR="00E66558" w:rsidRDefault="00DB4B0D">
            <w:pPr>
              <w:pStyle w:val="TableRowCentered"/>
              <w:jc w:val="left"/>
              <w:rPr>
                <w:sz w:val="22"/>
              </w:rPr>
            </w:pPr>
            <w:r>
              <w:rPr>
                <w:sz w:val="22"/>
              </w:rPr>
              <w:t>1 &amp; 5.</w:t>
            </w:r>
          </w:p>
        </w:tc>
      </w:tr>
      <w:tr w:rsidR="00E66558" w14:paraId="2A7D553F" w14:textId="77777777" w:rsidTr="3BDF0B8B">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3C" w14:textId="5593BF36" w:rsidR="00E66558" w:rsidRPr="00DB4B0D" w:rsidRDefault="00DB4B0D">
            <w:pPr>
              <w:pStyle w:val="TableRow"/>
              <w:rPr>
                <w:iCs/>
                <w:sz w:val="22"/>
              </w:rPr>
            </w:pPr>
            <w:r>
              <w:rPr>
                <w:iCs/>
                <w:sz w:val="22"/>
              </w:rPr>
              <w:t xml:space="preserve">Transport subsidy supports attendance and access to school </w:t>
            </w:r>
            <w:r>
              <w:rPr>
                <w:iCs/>
                <w:sz w:val="22"/>
              </w:rPr>
              <w:lastRenderedPageBreak/>
              <w:t xml:space="preserve">from most deprived catchment wards.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3D" w14:textId="3BA2586F" w:rsidR="00E66558" w:rsidRDefault="000A298F">
            <w:pPr>
              <w:pStyle w:val="TableRowCentered"/>
              <w:jc w:val="left"/>
              <w:rPr>
                <w:sz w:val="22"/>
              </w:rPr>
            </w:pPr>
            <w:r>
              <w:rPr>
                <w:sz w:val="22"/>
              </w:rPr>
              <w:lastRenderedPageBreak/>
              <w:t xml:space="preserve">EEF Guide to the Pupil Premium </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3E" w14:textId="569B7F28" w:rsidR="00E66558" w:rsidRDefault="00DB4B0D">
            <w:pPr>
              <w:pStyle w:val="TableRowCentered"/>
              <w:jc w:val="left"/>
              <w:rPr>
                <w:sz w:val="22"/>
              </w:rPr>
            </w:pPr>
            <w:r>
              <w:rPr>
                <w:sz w:val="22"/>
              </w:rPr>
              <w:t xml:space="preserve">1 </w:t>
            </w:r>
          </w:p>
        </w:tc>
      </w:tr>
      <w:tr w:rsidR="00DB4B0D" w14:paraId="01401E41" w14:textId="77777777" w:rsidTr="3BDF0B8B">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17DE02C" w14:textId="13C0075A" w:rsidR="00DB4B0D" w:rsidRDefault="00DB4B0D">
            <w:pPr>
              <w:pStyle w:val="TableRow"/>
              <w:rPr>
                <w:iCs/>
                <w:sz w:val="22"/>
              </w:rPr>
            </w:pPr>
            <w:r>
              <w:rPr>
                <w:iCs/>
                <w:sz w:val="22"/>
              </w:rPr>
              <w:t>Further strengthening of pastoral systems so that barriers to learning are effectively identified and appropriate intervention in place to ensure good levels of attendance, behaviour and engagement</w:t>
            </w:r>
            <w:r w:rsidR="000E29FE">
              <w:rPr>
                <w:iCs/>
                <w:sz w:val="22"/>
              </w:rPr>
              <w:t>.</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41A6084" w14:textId="0A2060F2" w:rsidR="00DB4B0D" w:rsidRDefault="00030C38">
            <w:pPr>
              <w:pStyle w:val="TableRowCentered"/>
              <w:jc w:val="left"/>
              <w:rPr>
                <w:sz w:val="22"/>
              </w:rPr>
            </w:pPr>
            <w:r>
              <w:rPr>
                <w:sz w:val="22"/>
              </w:rPr>
              <w:t xml:space="preserve">EEF </w:t>
            </w:r>
            <w:r w:rsidR="000A298F">
              <w:rPr>
                <w:sz w:val="22"/>
              </w:rPr>
              <w:t>Guidance</w:t>
            </w:r>
            <w:r>
              <w:rPr>
                <w:sz w:val="22"/>
              </w:rPr>
              <w:t xml:space="preserve"> Report – </w:t>
            </w:r>
            <w:r w:rsidR="000A298F">
              <w:rPr>
                <w:sz w:val="22"/>
              </w:rPr>
              <w:t>Improving</w:t>
            </w:r>
            <w:r>
              <w:rPr>
                <w:sz w:val="22"/>
              </w:rPr>
              <w:t xml:space="preserve"> behaviour in schools. </w:t>
            </w:r>
          </w:p>
          <w:p w14:paraId="72A0588B" w14:textId="77777777" w:rsidR="008E4451" w:rsidRDefault="008E4451">
            <w:pPr>
              <w:pStyle w:val="TableRowCentered"/>
              <w:jc w:val="left"/>
              <w:rPr>
                <w:sz w:val="22"/>
              </w:rPr>
            </w:pPr>
            <w:r>
              <w:rPr>
                <w:sz w:val="22"/>
              </w:rPr>
              <w:t xml:space="preserve">EEF Toolkit: Behaviour Interventions </w:t>
            </w:r>
          </w:p>
          <w:p w14:paraId="450DBC18" w14:textId="3532A963" w:rsidR="008E4451" w:rsidRDefault="008E4451">
            <w:pPr>
              <w:pStyle w:val="TableRowCentered"/>
              <w:jc w:val="left"/>
              <w:rPr>
                <w:sz w:val="22"/>
              </w:rPr>
            </w:pP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AF5C2D4" w14:textId="165DF5F4" w:rsidR="00DB4B0D" w:rsidRDefault="0009503B">
            <w:pPr>
              <w:pStyle w:val="TableRowCentered"/>
              <w:jc w:val="left"/>
              <w:rPr>
                <w:sz w:val="22"/>
              </w:rPr>
            </w:pPr>
            <w:r>
              <w:rPr>
                <w:sz w:val="22"/>
              </w:rPr>
              <w:t>1</w:t>
            </w:r>
            <w:r w:rsidR="00986CA1">
              <w:rPr>
                <w:sz w:val="22"/>
              </w:rPr>
              <w:t>-5</w:t>
            </w:r>
          </w:p>
        </w:tc>
      </w:tr>
      <w:tr w:rsidR="0009503B" w14:paraId="3D1EADD3" w14:textId="77777777" w:rsidTr="3BDF0B8B">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A640171" w14:textId="50359C25" w:rsidR="0009503B" w:rsidRDefault="0009503B">
            <w:pPr>
              <w:pStyle w:val="TableRow"/>
              <w:rPr>
                <w:iCs/>
                <w:sz w:val="22"/>
              </w:rPr>
            </w:pPr>
            <w:r>
              <w:rPr>
                <w:iCs/>
                <w:sz w:val="22"/>
              </w:rPr>
              <w:t xml:space="preserve">Careers </w:t>
            </w:r>
            <w:r w:rsidR="00030C38">
              <w:rPr>
                <w:iCs/>
                <w:sz w:val="22"/>
              </w:rPr>
              <w:t xml:space="preserve">and </w:t>
            </w:r>
            <w:r>
              <w:rPr>
                <w:iCs/>
                <w:sz w:val="22"/>
              </w:rPr>
              <w:t xml:space="preserve">curriculum+ plan in place leading to raised aspirations of pupils.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997FD82" w14:textId="43B590E0" w:rsidR="0009503B" w:rsidRDefault="000A298F">
            <w:pPr>
              <w:pStyle w:val="TableRowCentered"/>
              <w:jc w:val="left"/>
              <w:rPr>
                <w:sz w:val="22"/>
              </w:rPr>
            </w:pPr>
            <w:r>
              <w:rPr>
                <w:sz w:val="22"/>
              </w:rPr>
              <w:t xml:space="preserve">EEF Guide to the Pupil Premium </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6E51335" w14:textId="052E1C24" w:rsidR="0009503B" w:rsidRDefault="006C13D3">
            <w:pPr>
              <w:pStyle w:val="TableRowCentered"/>
              <w:jc w:val="left"/>
              <w:rPr>
                <w:sz w:val="22"/>
              </w:rPr>
            </w:pPr>
            <w:r>
              <w:rPr>
                <w:sz w:val="22"/>
              </w:rPr>
              <w:t>5.</w:t>
            </w:r>
          </w:p>
        </w:tc>
      </w:tr>
      <w:tr w:rsidR="006A764B" w14:paraId="1E562105" w14:textId="77777777" w:rsidTr="3BDF0B8B">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61D1DFF" w14:textId="47D02CD4" w:rsidR="006A764B" w:rsidRDefault="008E5AEE">
            <w:pPr>
              <w:pStyle w:val="TableRow"/>
              <w:rPr>
                <w:iCs/>
                <w:sz w:val="22"/>
              </w:rPr>
            </w:pPr>
            <w:r>
              <w:rPr>
                <w:iCs/>
                <w:sz w:val="22"/>
              </w:rPr>
              <w:t xml:space="preserve">Mentoring for identified pupils to identify barriers and work with pupils/families to overcome these.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6147655" w14:textId="73991BD8" w:rsidR="006A764B" w:rsidRDefault="000E29FE">
            <w:pPr>
              <w:pStyle w:val="TableRowCentered"/>
              <w:jc w:val="left"/>
              <w:rPr>
                <w:sz w:val="22"/>
              </w:rPr>
            </w:pPr>
            <w:r>
              <w:rPr>
                <w:sz w:val="22"/>
              </w:rPr>
              <w:t>EEF Toolkit: Mentoring</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0C8BA6" w14:textId="2693810F" w:rsidR="006A764B" w:rsidRDefault="008E5AEE">
            <w:pPr>
              <w:pStyle w:val="TableRowCentered"/>
              <w:jc w:val="left"/>
              <w:rPr>
                <w:sz w:val="22"/>
              </w:rPr>
            </w:pPr>
            <w:r>
              <w:rPr>
                <w:sz w:val="22"/>
              </w:rPr>
              <w:t>1-5</w:t>
            </w:r>
          </w:p>
        </w:tc>
      </w:tr>
    </w:tbl>
    <w:p w14:paraId="2A7D5540" w14:textId="77777777" w:rsidR="00E66558" w:rsidRDefault="00E66558">
      <w:pPr>
        <w:spacing w:before="240" w:after="0"/>
        <w:rPr>
          <w:b/>
          <w:bCs/>
          <w:color w:val="104F75"/>
          <w:sz w:val="28"/>
          <w:szCs w:val="28"/>
        </w:rPr>
      </w:pPr>
    </w:p>
    <w:p w14:paraId="2A7D5541" w14:textId="757A8607" w:rsidR="00E66558" w:rsidRDefault="009D71E8" w:rsidP="4C7039E6">
      <w:pPr>
        <w:rPr>
          <w:b/>
          <w:bCs/>
          <w:color w:val="104F75"/>
          <w:sz w:val="28"/>
          <w:szCs w:val="28"/>
        </w:rPr>
      </w:pPr>
      <w:r w:rsidRPr="4C7039E6">
        <w:rPr>
          <w:b/>
          <w:bCs/>
          <w:color w:val="104F75"/>
          <w:sz w:val="28"/>
          <w:szCs w:val="28"/>
        </w:rPr>
        <w:t xml:space="preserve">Total budgeted cost: </w:t>
      </w:r>
      <w:r w:rsidRPr="00AD2F5C">
        <w:rPr>
          <w:b/>
          <w:bCs/>
          <w:color w:val="auto"/>
          <w:sz w:val="28"/>
          <w:szCs w:val="28"/>
        </w:rPr>
        <w:t>£</w:t>
      </w:r>
      <w:r w:rsidR="00782900" w:rsidRPr="00AD2F5C">
        <w:rPr>
          <w:b/>
          <w:bCs/>
          <w:color w:val="auto"/>
          <w:sz w:val="28"/>
          <w:szCs w:val="28"/>
        </w:rPr>
        <w:t>4</w:t>
      </w:r>
      <w:r w:rsidR="00431343" w:rsidRPr="00AD2F5C">
        <w:rPr>
          <w:b/>
          <w:bCs/>
          <w:color w:val="auto"/>
          <w:sz w:val="28"/>
          <w:szCs w:val="28"/>
        </w:rPr>
        <w:t>29 635</w:t>
      </w:r>
    </w:p>
    <w:p w14:paraId="2A7D5542" w14:textId="77777777" w:rsidR="00E66558" w:rsidRDefault="009D71E8">
      <w:pPr>
        <w:pStyle w:val="Heading1"/>
      </w:pPr>
      <w:r>
        <w:lastRenderedPageBreak/>
        <w:t>Part B: Review of outcomes in the previous academic year</w:t>
      </w:r>
    </w:p>
    <w:p w14:paraId="2A7D5543" w14:textId="77777777" w:rsidR="00E66558" w:rsidRDefault="009D71E8">
      <w:pPr>
        <w:pStyle w:val="Heading2"/>
      </w:pPr>
      <w:r>
        <w:t>Pupil premium strategy outcomes</w:t>
      </w:r>
    </w:p>
    <w:p w14:paraId="53CADC06" w14:textId="75FE05A2" w:rsidR="003103B7" w:rsidRDefault="003103B7" w:rsidP="00723DF1">
      <w:pPr>
        <w:pStyle w:val="ListParagraph"/>
        <w:numPr>
          <w:ilvl w:val="0"/>
          <w:numId w:val="15"/>
        </w:numPr>
        <w:suppressAutoHyphens w:val="0"/>
        <w:autoSpaceDN/>
        <w:rPr>
          <w:rFonts w:cs="Arial"/>
          <w:i/>
          <w:iCs/>
          <w:color w:val="auto"/>
        </w:rPr>
      </w:pPr>
      <w:r w:rsidRPr="0027090B">
        <w:rPr>
          <w:rFonts w:cs="Arial"/>
          <w:i/>
          <w:iCs/>
          <w:color w:val="auto"/>
        </w:rPr>
        <w:t xml:space="preserve">Pupil Premium attendance increased by 1.3% from 2024 to 2025. </w:t>
      </w:r>
    </w:p>
    <w:p w14:paraId="77ACF84C" w14:textId="77777777" w:rsidR="00FB0F8B" w:rsidRDefault="0027090B" w:rsidP="00FB0F8B">
      <w:pPr>
        <w:pStyle w:val="ListParagraph"/>
        <w:numPr>
          <w:ilvl w:val="0"/>
          <w:numId w:val="15"/>
        </w:numPr>
        <w:suppressAutoHyphens w:val="0"/>
        <w:autoSpaceDN/>
        <w:rPr>
          <w:rFonts w:cs="Arial"/>
          <w:i/>
          <w:iCs/>
          <w:color w:val="auto"/>
        </w:rPr>
      </w:pPr>
      <w:r>
        <w:rPr>
          <w:rFonts w:cs="Arial"/>
          <w:i/>
          <w:iCs/>
          <w:color w:val="auto"/>
        </w:rPr>
        <w:t>SEND attendance increased by 1.8% from 2024 to 2025</w:t>
      </w:r>
    </w:p>
    <w:p w14:paraId="7A56C3E3" w14:textId="12B995B9" w:rsidR="004F05B9" w:rsidRDefault="00FB0F8B" w:rsidP="00577DCC">
      <w:pPr>
        <w:pStyle w:val="ListParagraph"/>
        <w:numPr>
          <w:ilvl w:val="0"/>
          <w:numId w:val="15"/>
        </w:numPr>
        <w:suppressAutoHyphens w:val="0"/>
        <w:autoSpaceDN/>
        <w:rPr>
          <w:rFonts w:cs="Arial"/>
          <w:i/>
          <w:iCs/>
          <w:color w:val="auto"/>
        </w:rPr>
      </w:pPr>
      <w:r w:rsidRPr="00FB0F8B">
        <w:rPr>
          <w:rFonts w:cs="Arial"/>
          <w:i/>
          <w:iCs/>
          <w:color w:val="auto"/>
        </w:rPr>
        <w:t xml:space="preserve">Reading Age (SAS) in </w:t>
      </w:r>
      <w:r w:rsidR="004F05B9">
        <w:rPr>
          <w:rFonts w:cs="Arial"/>
          <w:i/>
          <w:iCs/>
          <w:color w:val="auto"/>
        </w:rPr>
        <w:t xml:space="preserve">year 7 shows an increase of 4.7, </w:t>
      </w:r>
      <w:r w:rsidRPr="00FB0F8B">
        <w:rPr>
          <w:rFonts w:cs="Arial"/>
          <w:i/>
          <w:iCs/>
          <w:color w:val="auto"/>
        </w:rPr>
        <w:t>year 9 shows an increase of</w:t>
      </w:r>
      <w:r w:rsidR="004F05B9">
        <w:rPr>
          <w:rFonts w:cs="Arial"/>
          <w:i/>
          <w:iCs/>
          <w:color w:val="auto"/>
        </w:rPr>
        <w:t xml:space="preserve"> 0</w:t>
      </w:r>
      <w:r w:rsidR="00CD791B">
        <w:rPr>
          <w:rFonts w:cs="Arial"/>
          <w:i/>
          <w:iCs/>
          <w:color w:val="auto"/>
        </w:rPr>
        <w:t>.7.</w:t>
      </w:r>
    </w:p>
    <w:p w14:paraId="38D19F8C" w14:textId="3A80CD75" w:rsidR="0027090B" w:rsidRPr="00FB0F8B" w:rsidRDefault="0027090B" w:rsidP="00577DCC">
      <w:pPr>
        <w:pStyle w:val="ListParagraph"/>
        <w:numPr>
          <w:ilvl w:val="0"/>
          <w:numId w:val="15"/>
        </w:numPr>
        <w:suppressAutoHyphens w:val="0"/>
        <w:autoSpaceDN/>
        <w:rPr>
          <w:rFonts w:cs="Arial"/>
          <w:i/>
          <w:iCs/>
          <w:color w:val="auto"/>
        </w:rPr>
      </w:pPr>
      <w:r w:rsidRPr="00FB0F8B">
        <w:rPr>
          <w:rFonts w:cs="Arial"/>
          <w:i/>
          <w:iCs/>
          <w:color w:val="auto"/>
        </w:rPr>
        <w:t xml:space="preserve">Non Secondary Ready students: </w:t>
      </w:r>
      <w:r w:rsidR="00FB0F8B" w:rsidRPr="00FB0F8B">
        <w:rPr>
          <w:rFonts w:cs="Arial"/>
          <w:i/>
          <w:iCs/>
          <w:color w:val="auto"/>
        </w:rPr>
        <w:t>71% improvement in Maths, 75% in English; PP pupil in Maths 58% close the gap and 65% in English.</w:t>
      </w:r>
    </w:p>
    <w:p w14:paraId="7656F89A" w14:textId="0DF1E1C6" w:rsidR="0027090B" w:rsidRDefault="0027090B" w:rsidP="0027090B">
      <w:pPr>
        <w:pStyle w:val="ListParagraph"/>
        <w:numPr>
          <w:ilvl w:val="0"/>
          <w:numId w:val="15"/>
        </w:numPr>
        <w:suppressAutoHyphens w:val="0"/>
        <w:autoSpaceDN/>
        <w:rPr>
          <w:rFonts w:cs="Arial"/>
          <w:i/>
          <w:iCs/>
          <w:color w:val="auto"/>
        </w:rPr>
      </w:pPr>
      <w:r>
        <w:rPr>
          <w:rFonts w:cs="Arial"/>
          <w:i/>
          <w:iCs/>
          <w:color w:val="auto"/>
        </w:rPr>
        <w:t xml:space="preserve">Attainment figures show Disadvantaged Pupils did not fall behind their non-disadvantaged peers. Gap narrowed 0.12 last academic year. </w:t>
      </w:r>
    </w:p>
    <w:p w14:paraId="2C05AC66" w14:textId="4EAEBDD9" w:rsidR="0027090B" w:rsidRDefault="0027090B" w:rsidP="0027090B">
      <w:pPr>
        <w:pStyle w:val="ListParagraph"/>
        <w:numPr>
          <w:ilvl w:val="0"/>
          <w:numId w:val="15"/>
        </w:numPr>
        <w:suppressAutoHyphens w:val="0"/>
        <w:autoSpaceDN/>
        <w:rPr>
          <w:rFonts w:cs="Arial"/>
          <w:i/>
          <w:iCs/>
          <w:color w:val="auto"/>
        </w:rPr>
      </w:pPr>
      <w:r>
        <w:rPr>
          <w:rFonts w:cs="Arial"/>
          <w:i/>
          <w:iCs/>
          <w:color w:val="auto"/>
        </w:rPr>
        <w:t>Progress* figures (SISRA Collective) show gap narrowed by 0.12.</w:t>
      </w:r>
    </w:p>
    <w:p w14:paraId="606EC696" w14:textId="753135EC" w:rsidR="0027090B" w:rsidRPr="00EC6D12" w:rsidRDefault="00B14752" w:rsidP="0027090B">
      <w:pPr>
        <w:pStyle w:val="ListParagraph"/>
        <w:numPr>
          <w:ilvl w:val="0"/>
          <w:numId w:val="15"/>
        </w:numPr>
        <w:suppressAutoHyphens w:val="0"/>
        <w:autoSpaceDN/>
        <w:rPr>
          <w:rFonts w:cs="Arial"/>
          <w:i/>
          <w:iCs/>
          <w:color w:val="auto"/>
        </w:rPr>
      </w:pPr>
      <w:r w:rsidRPr="00EC6D12">
        <w:rPr>
          <w:rFonts w:cs="Arial"/>
          <w:i/>
          <w:iCs/>
          <w:color w:val="auto"/>
        </w:rPr>
        <w:t>Grade 4+ in Maths increased 1.1</w:t>
      </w:r>
      <w:r w:rsidR="00CD7F05" w:rsidRPr="00EC6D12">
        <w:rPr>
          <w:rFonts w:cs="Arial"/>
          <w:i/>
          <w:iCs/>
          <w:color w:val="auto"/>
        </w:rPr>
        <w:t xml:space="preserve">% overall. PP 4+ </w:t>
      </w:r>
      <w:r w:rsidRPr="00EC6D12">
        <w:rPr>
          <w:rFonts w:cs="Arial"/>
          <w:i/>
          <w:iCs/>
          <w:color w:val="auto"/>
        </w:rPr>
        <w:t xml:space="preserve"> </w:t>
      </w:r>
      <w:r w:rsidR="00CD7F05" w:rsidRPr="00EC6D12">
        <w:rPr>
          <w:rFonts w:cs="Arial"/>
          <w:i/>
          <w:iCs/>
          <w:color w:val="auto"/>
        </w:rPr>
        <w:t xml:space="preserve">increased </w:t>
      </w:r>
      <w:r w:rsidR="00EC6D12" w:rsidRPr="00EC6D12">
        <w:rPr>
          <w:rFonts w:cs="Arial"/>
          <w:i/>
          <w:iCs/>
          <w:color w:val="auto"/>
        </w:rPr>
        <w:t>1.8% and 7+ 2.1%.</w:t>
      </w:r>
    </w:p>
    <w:p w14:paraId="0D28E55E" w14:textId="28F139D8" w:rsidR="00EC6D12" w:rsidRPr="00EC6D12" w:rsidRDefault="00EC6D12" w:rsidP="0027090B">
      <w:pPr>
        <w:pStyle w:val="ListParagraph"/>
        <w:numPr>
          <w:ilvl w:val="0"/>
          <w:numId w:val="15"/>
        </w:numPr>
        <w:suppressAutoHyphens w:val="0"/>
        <w:autoSpaceDN/>
        <w:rPr>
          <w:rFonts w:cs="Arial"/>
          <w:i/>
          <w:iCs/>
          <w:color w:val="auto"/>
        </w:rPr>
      </w:pPr>
      <w:r w:rsidRPr="00EC6D12">
        <w:rPr>
          <w:rFonts w:cs="Arial"/>
          <w:i/>
          <w:iCs/>
          <w:color w:val="auto"/>
        </w:rPr>
        <w:t>Pupil Premium learners in English Literature 7+ increased by 3.6%.</w:t>
      </w:r>
    </w:p>
    <w:p w14:paraId="53AB5265" w14:textId="20141296" w:rsidR="00EC6D12" w:rsidRPr="004F05B9" w:rsidRDefault="00EC6D12" w:rsidP="000B4603">
      <w:pPr>
        <w:pStyle w:val="ListParagraph"/>
        <w:numPr>
          <w:ilvl w:val="0"/>
          <w:numId w:val="15"/>
        </w:numPr>
        <w:suppressAutoHyphens w:val="0"/>
        <w:autoSpaceDN/>
        <w:rPr>
          <w:rFonts w:cs="Arial"/>
          <w:i/>
          <w:iCs/>
          <w:color w:val="auto"/>
        </w:rPr>
      </w:pPr>
      <w:r w:rsidRPr="004F05B9">
        <w:rPr>
          <w:rFonts w:cs="Arial"/>
          <w:i/>
          <w:iCs/>
          <w:color w:val="auto"/>
        </w:rPr>
        <w:t>History PP 4+ increased by 19% and 5+ by 10.6%.RE PP 4+ increased by 2.4% and 5+ by 0.7%.</w:t>
      </w:r>
    </w:p>
    <w:p w14:paraId="7F1D079A" w14:textId="0712B0B1" w:rsidR="00EC6D12" w:rsidRPr="00EC6D12" w:rsidRDefault="00EC6D12" w:rsidP="0027090B">
      <w:pPr>
        <w:pStyle w:val="ListParagraph"/>
        <w:numPr>
          <w:ilvl w:val="0"/>
          <w:numId w:val="15"/>
        </w:numPr>
        <w:suppressAutoHyphens w:val="0"/>
        <w:autoSpaceDN/>
        <w:rPr>
          <w:rFonts w:cs="Arial"/>
          <w:i/>
          <w:iCs/>
          <w:color w:val="auto"/>
        </w:rPr>
      </w:pPr>
      <w:r>
        <w:rPr>
          <w:rFonts w:cs="Arial"/>
          <w:i/>
          <w:iCs/>
          <w:color w:val="auto"/>
        </w:rPr>
        <w:t>Language element Spanish increased 4+ by 4.7%.</w:t>
      </w:r>
    </w:p>
    <w:p w14:paraId="5335A42F" w14:textId="25A91366" w:rsidR="00B14752" w:rsidRPr="002573EA" w:rsidRDefault="00B14752" w:rsidP="0027090B">
      <w:pPr>
        <w:pStyle w:val="ListParagraph"/>
        <w:numPr>
          <w:ilvl w:val="0"/>
          <w:numId w:val="15"/>
        </w:numPr>
        <w:suppressAutoHyphens w:val="0"/>
        <w:autoSpaceDN/>
        <w:rPr>
          <w:rFonts w:cs="Arial"/>
          <w:i/>
          <w:iCs/>
          <w:color w:val="auto"/>
        </w:rPr>
      </w:pPr>
      <w:r w:rsidRPr="002573EA">
        <w:rPr>
          <w:rFonts w:cs="Arial"/>
          <w:i/>
          <w:iCs/>
          <w:color w:val="auto"/>
        </w:rPr>
        <w:t>Grade 4+ in Science increased 0.8%</w:t>
      </w:r>
      <w:r w:rsidR="00EC6D12" w:rsidRPr="002573EA">
        <w:rPr>
          <w:rFonts w:cs="Arial"/>
          <w:i/>
          <w:iCs/>
          <w:color w:val="auto"/>
        </w:rPr>
        <w:t xml:space="preserve"> overall.</w:t>
      </w:r>
    </w:p>
    <w:p w14:paraId="1107CDA4" w14:textId="637E9D67" w:rsidR="00B14752" w:rsidRPr="002573EA" w:rsidRDefault="00B14752" w:rsidP="0027090B">
      <w:pPr>
        <w:pStyle w:val="ListParagraph"/>
        <w:numPr>
          <w:ilvl w:val="0"/>
          <w:numId w:val="15"/>
        </w:numPr>
        <w:suppressAutoHyphens w:val="0"/>
        <w:autoSpaceDN/>
        <w:rPr>
          <w:rFonts w:cs="Arial"/>
          <w:i/>
          <w:iCs/>
          <w:color w:val="auto"/>
        </w:rPr>
      </w:pPr>
      <w:r w:rsidRPr="002573EA">
        <w:rPr>
          <w:rFonts w:cs="Arial"/>
          <w:i/>
          <w:iCs/>
          <w:color w:val="auto"/>
        </w:rPr>
        <w:t>Grade 5+ in Science increased 3.5%</w:t>
      </w:r>
      <w:r w:rsidR="00EC6D12" w:rsidRPr="002573EA">
        <w:rPr>
          <w:rFonts w:cs="Arial"/>
          <w:i/>
          <w:iCs/>
          <w:color w:val="auto"/>
        </w:rPr>
        <w:t xml:space="preserve"> overall. </w:t>
      </w:r>
    </w:p>
    <w:p w14:paraId="3F4D0338" w14:textId="7368FA89" w:rsidR="002573EA" w:rsidRPr="002573EA" w:rsidRDefault="002573EA" w:rsidP="0027090B">
      <w:pPr>
        <w:pStyle w:val="ListParagraph"/>
        <w:numPr>
          <w:ilvl w:val="0"/>
          <w:numId w:val="15"/>
        </w:numPr>
        <w:suppressAutoHyphens w:val="0"/>
        <w:autoSpaceDN/>
        <w:rPr>
          <w:rFonts w:cs="Arial"/>
          <w:i/>
          <w:iCs/>
          <w:color w:val="auto"/>
        </w:rPr>
      </w:pPr>
      <w:r w:rsidRPr="002573EA">
        <w:rPr>
          <w:rFonts w:cs="Arial"/>
          <w:i/>
          <w:iCs/>
          <w:color w:val="auto"/>
        </w:rPr>
        <w:t>Increase in Biology PP 4+ by 12.5%</w:t>
      </w:r>
    </w:p>
    <w:p w14:paraId="109FC2DD" w14:textId="33141BAE" w:rsidR="002573EA" w:rsidRPr="002573EA" w:rsidRDefault="002573EA" w:rsidP="0027090B">
      <w:pPr>
        <w:pStyle w:val="ListParagraph"/>
        <w:numPr>
          <w:ilvl w:val="0"/>
          <w:numId w:val="15"/>
        </w:numPr>
        <w:suppressAutoHyphens w:val="0"/>
        <w:autoSpaceDN/>
        <w:rPr>
          <w:rFonts w:cs="Arial"/>
          <w:i/>
          <w:iCs/>
          <w:color w:val="auto"/>
        </w:rPr>
      </w:pPr>
      <w:r w:rsidRPr="002573EA">
        <w:rPr>
          <w:rFonts w:cs="Arial"/>
          <w:i/>
          <w:iCs/>
          <w:color w:val="auto"/>
        </w:rPr>
        <w:t xml:space="preserve">Increase in 7+ Single Science by 9.1%. 18.25% and 9.41% in Biology, Chemistry and Physics respectively. </w:t>
      </w:r>
    </w:p>
    <w:p w14:paraId="644C4495" w14:textId="32CF131F" w:rsidR="0027090B" w:rsidRDefault="00B14752" w:rsidP="0027090B">
      <w:pPr>
        <w:pStyle w:val="ListParagraph"/>
        <w:numPr>
          <w:ilvl w:val="0"/>
          <w:numId w:val="15"/>
        </w:numPr>
        <w:suppressAutoHyphens w:val="0"/>
        <w:autoSpaceDN/>
        <w:rPr>
          <w:rFonts w:cs="Arial"/>
          <w:i/>
          <w:iCs/>
          <w:color w:val="auto"/>
        </w:rPr>
      </w:pPr>
      <w:r w:rsidRPr="00DF568B">
        <w:rPr>
          <w:rFonts w:cs="Arial"/>
          <w:i/>
          <w:iCs/>
          <w:color w:val="auto"/>
        </w:rPr>
        <w:t>EBacc Av Attainment 8 increased 0.16 and Average Grade increased 0.06.</w:t>
      </w:r>
    </w:p>
    <w:p w14:paraId="7930E427" w14:textId="123A3668" w:rsidR="00DF568B" w:rsidRPr="00FB0F8B" w:rsidRDefault="00DF568B" w:rsidP="0027090B">
      <w:pPr>
        <w:pStyle w:val="ListParagraph"/>
        <w:numPr>
          <w:ilvl w:val="0"/>
          <w:numId w:val="15"/>
        </w:numPr>
        <w:suppressAutoHyphens w:val="0"/>
        <w:autoSpaceDN/>
        <w:rPr>
          <w:rFonts w:cs="Arial"/>
          <w:i/>
          <w:iCs/>
          <w:color w:val="auto"/>
        </w:rPr>
      </w:pPr>
      <w:r w:rsidRPr="00FB0F8B">
        <w:rPr>
          <w:rFonts w:cs="Arial"/>
          <w:i/>
          <w:iCs/>
          <w:color w:val="auto"/>
        </w:rPr>
        <w:t>NEET figure 2024: 8 students, 2.59%.</w:t>
      </w:r>
    </w:p>
    <w:p w14:paraId="668C2079" w14:textId="77777777" w:rsidR="00723DF1" w:rsidRPr="00723DF1" w:rsidRDefault="00723DF1" w:rsidP="00723DF1"/>
    <w:p w14:paraId="2A7D5548" w14:textId="77777777" w:rsidR="00E66558" w:rsidRDefault="009D71E8">
      <w:pPr>
        <w:pStyle w:val="Heading2"/>
        <w:spacing w:before="600"/>
      </w:pPr>
      <w:r>
        <w:t>Externally provided programmes</w:t>
      </w:r>
    </w:p>
    <w:p w14:paraId="2A7D5549" w14:textId="77777777" w:rsidR="00E66558" w:rsidRDefault="009D71E8">
      <w:pPr>
        <w:rPr>
          <w:i/>
          <w:iCs/>
        </w:rPr>
      </w:pPr>
      <w:r>
        <w:rPr>
          <w:i/>
          <w:iCs/>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rsidTr="4C7039E6">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rsidTr="4C7039E6">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4D" w14:textId="77777777" w:rsidR="00E66558" w:rsidRDefault="00E66558">
            <w:pPr>
              <w:pStyle w:val="TableRow"/>
            </w:pP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4E" w14:textId="77777777" w:rsidR="00E66558" w:rsidRDefault="00E66558">
            <w:pPr>
              <w:pStyle w:val="TableRowCentered"/>
              <w:jc w:val="left"/>
            </w:pPr>
          </w:p>
        </w:tc>
      </w:tr>
      <w:tr w:rsidR="00E66558" w14:paraId="2A7D5552" w14:textId="77777777" w:rsidTr="4C7039E6">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50" w14:textId="77777777" w:rsidR="00E66558" w:rsidRDefault="00E66558">
            <w:pPr>
              <w:pStyle w:val="TableRow"/>
            </w:pP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51" w14:textId="77777777" w:rsidR="00E66558" w:rsidRDefault="00E66558">
            <w:pPr>
              <w:pStyle w:val="TableRowCentered"/>
              <w:jc w:val="left"/>
            </w:pPr>
          </w:p>
        </w:tc>
      </w:tr>
      <w:bookmarkEnd w:id="14"/>
      <w:bookmarkEnd w:id="15"/>
      <w:bookmarkEnd w:id="16"/>
    </w:tbl>
    <w:p w14:paraId="2A7D555F" w14:textId="77777777" w:rsidR="00E66558" w:rsidRDefault="00E66558">
      <w:pPr>
        <w:spacing w:after="0" w:line="240" w:lineRule="auto"/>
      </w:pPr>
    </w:p>
    <w:sectPr w:rsidR="00E66558">
      <w:headerReference w:type="default" r:id="rId7"/>
      <w:footerReference w:type="default" r:id="rId8"/>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384FB" w14:textId="77777777" w:rsidR="00353A77" w:rsidRDefault="00353A77">
      <w:pPr>
        <w:spacing w:after="0" w:line="240" w:lineRule="auto"/>
      </w:pPr>
      <w:r>
        <w:separator/>
      </w:r>
    </w:p>
  </w:endnote>
  <w:endnote w:type="continuationSeparator" w:id="0">
    <w:p w14:paraId="5CE6B2C9" w14:textId="77777777" w:rsidR="00353A77" w:rsidRDefault="00353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E" w14:textId="77777777" w:rsidR="007F4334"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AEAE7" w14:textId="77777777" w:rsidR="00353A77" w:rsidRDefault="00353A77">
      <w:pPr>
        <w:spacing w:after="0" w:line="240" w:lineRule="auto"/>
      </w:pPr>
      <w:r>
        <w:separator/>
      </w:r>
    </w:p>
  </w:footnote>
  <w:footnote w:type="continuationSeparator" w:id="0">
    <w:p w14:paraId="1E017397" w14:textId="77777777" w:rsidR="00353A77" w:rsidRDefault="00353A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C" w14:textId="77777777" w:rsidR="007F4334" w:rsidRDefault="007F43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E1258E2"/>
    <w:multiLevelType w:val="hybridMultilevel"/>
    <w:tmpl w:val="E4BA3A90"/>
    <w:lvl w:ilvl="0" w:tplc="D80019EC">
      <w:start w:val="202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4"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6"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437A60BB"/>
    <w:multiLevelType w:val="hybridMultilevel"/>
    <w:tmpl w:val="A86A6978"/>
    <w:lvl w:ilvl="0" w:tplc="2ED402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2"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3"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4"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535704067">
    <w:abstractNumId w:val="4"/>
  </w:num>
  <w:num w:numId="2" w16cid:durableId="1234312176">
    <w:abstractNumId w:val="2"/>
  </w:num>
  <w:num w:numId="3" w16cid:durableId="1913811636">
    <w:abstractNumId w:val="5"/>
  </w:num>
  <w:num w:numId="4" w16cid:durableId="1576206680">
    <w:abstractNumId w:val="6"/>
  </w:num>
  <w:num w:numId="5" w16cid:durableId="143008244">
    <w:abstractNumId w:val="0"/>
  </w:num>
  <w:num w:numId="6" w16cid:durableId="531499687">
    <w:abstractNumId w:val="7"/>
  </w:num>
  <w:num w:numId="7" w16cid:durableId="941256706">
    <w:abstractNumId w:val="10"/>
  </w:num>
  <w:num w:numId="8" w16cid:durableId="1851944740">
    <w:abstractNumId w:val="14"/>
  </w:num>
  <w:num w:numId="9" w16cid:durableId="2054648160">
    <w:abstractNumId w:val="12"/>
  </w:num>
  <w:num w:numId="10" w16cid:durableId="744835676">
    <w:abstractNumId w:val="11"/>
  </w:num>
  <w:num w:numId="11" w16cid:durableId="1763450928">
    <w:abstractNumId w:val="3"/>
  </w:num>
  <w:num w:numId="12" w16cid:durableId="95831175">
    <w:abstractNumId w:val="13"/>
  </w:num>
  <w:num w:numId="13" w16cid:durableId="1360012279">
    <w:abstractNumId w:val="9"/>
  </w:num>
  <w:num w:numId="14" w16cid:durableId="208617084">
    <w:abstractNumId w:val="1"/>
  </w:num>
  <w:num w:numId="15" w16cid:durableId="17217125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15314"/>
    <w:rsid w:val="00030C38"/>
    <w:rsid w:val="00052698"/>
    <w:rsid w:val="00063D1E"/>
    <w:rsid w:val="000656D8"/>
    <w:rsid w:val="00066B73"/>
    <w:rsid w:val="00073284"/>
    <w:rsid w:val="0009503B"/>
    <w:rsid w:val="000A298F"/>
    <w:rsid w:val="000A5B56"/>
    <w:rsid w:val="000A7CAB"/>
    <w:rsid w:val="000B651F"/>
    <w:rsid w:val="000C5CB2"/>
    <w:rsid w:val="000D54FB"/>
    <w:rsid w:val="000E29FE"/>
    <w:rsid w:val="000E60BA"/>
    <w:rsid w:val="00103C93"/>
    <w:rsid w:val="001135B6"/>
    <w:rsid w:val="00120AB1"/>
    <w:rsid w:val="00131119"/>
    <w:rsid w:val="0019291C"/>
    <w:rsid w:val="002354FB"/>
    <w:rsid w:val="00256619"/>
    <w:rsid w:val="002573EA"/>
    <w:rsid w:val="0027090B"/>
    <w:rsid w:val="002B5B83"/>
    <w:rsid w:val="002C6C73"/>
    <w:rsid w:val="002E110F"/>
    <w:rsid w:val="002E5897"/>
    <w:rsid w:val="002E5CBD"/>
    <w:rsid w:val="003103B7"/>
    <w:rsid w:val="003425AE"/>
    <w:rsid w:val="00345FA8"/>
    <w:rsid w:val="00353A77"/>
    <w:rsid w:val="003A075E"/>
    <w:rsid w:val="003B7D34"/>
    <w:rsid w:val="003C1632"/>
    <w:rsid w:val="004044AA"/>
    <w:rsid w:val="0041144B"/>
    <w:rsid w:val="00431343"/>
    <w:rsid w:val="00441CF2"/>
    <w:rsid w:val="00475A20"/>
    <w:rsid w:val="00487B60"/>
    <w:rsid w:val="0049216E"/>
    <w:rsid w:val="004F05B9"/>
    <w:rsid w:val="00507DC5"/>
    <w:rsid w:val="005129B1"/>
    <w:rsid w:val="00522FF8"/>
    <w:rsid w:val="005620D2"/>
    <w:rsid w:val="00562179"/>
    <w:rsid w:val="00563CC5"/>
    <w:rsid w:val="00565634"/>
    <w:rsid w:val="0056698D"/>
    <w:rsid w:val="0057037F"/>
    <w:rsid w:val="00576CDE"/>
    <w:rsid w:val="005C4614"/>
    <w:rsid w:val="005F3576"/>
    <w:rsid w:val="00600439"/>
    <w:rsid w:val="00615134"/>
    <w:rsid w:val="006247AA"/>
    <w:rsid w:val="006271BB"/>
    <w:rsid w:val="006452C9"/>
    <w:rsid w:val="00673AF9"/>
    <w:rsid w:val="006A764B"/>
    <w:rsid w:val="006C13D3"/>
    <w:rsid w:val="006C5BBF"/>
    <w:rsid w:val="006E089E"/>
    <w:rsid w:val="006E7FB1"/>
    <w:rsid w:val="006F0262"/>
    <w:rsid w:val="006F57D5"/>
    <w:rsid w:val="0071309C"/>
    <w:rsid w:val="007148A3"/>
    <w:rsid w:val="00723DF1"/>
    <w:rsid w:val="00740B42"/>
    <w:rsid w:val="00741B9E"/>
    <w:rsid w:val="00751956"/>
    <w:rsid w:val="007523C6"/>
    <w:rsid w:val="00755E62"/>
    <w:rsid w:val="00780D36"/>
    <w:rsid w:val="00782900"/>
    <w:rsid w:val="007935E0"/>
    <w:rsid w:val="007A3719"/>
    <w:rsid w:val="007B3D0E"/>
    <w:rsid w:val="007C2F04"/>
    <w:rsid w:val="007D69DB"/>
    <w:rsid w:val="007F4334"/>
    <w:rsid w:val="007F5620"/>
    <w:rsid w:val="00871AE3"/>
    <w:rsid w:val="008B4084"/>
    <w:rsid w:val="008C112A"/>
    <w:rsid w:val="008D2FCC"/>
    <w:rsid w:val="008E4451"/>
    <w:rsid w:val="008E5AEE"/>
    <w:rsid w:val="00907B52"/>
    <w:rsid w:val="00913F89"/>
    <w:rsid w:val="00927CAC"/>
    <w:rsid w:val="009427EA"/>
    <w:rsid w:val="00960FDA"/>
    <w:rsid w:val="00982038"/>
    <w:rsid w:val="00986CA1"/>
    <w:rsid w:val="0099054F"/>
    <w:rsid w:val="009B5EA5"/>
    <w:rsid w:val="009D71E8"/>
    <w:rsid w:val="009F69C4"/>
    <w:rsid w:val="00A04682"/>
    <w:rsid w:val="00A22F31"/>
    <w:rsid w:val="00A46F05"/>
    <w:rsid w:val="00A4768A"/>
    <w:rsid w:val="00A52727"/>
    <w:rsid w:val="00A675CE"/>
    <w:rsid w:val="00AA4033"/>
    <w:rsid w:val="00AC0533"/>
    <w:rsid w:val="00AD2F5C"/>
    <w:rsid w:val="00B1252E"/>
    <w:rsid w:val="00B14752"/>
    <w:rsid w:val="00B510F8"/>
    <w:rsid w:val="00B65BB6"/>
    <w:rsid w:val="00B70745"/>
    <w:rsid w:val="00B87105"/>
    <w:rsid w:val="00B9123C"/>
    <w:rsid w:val="00B9627E"/>
    <w:rsid w:val="00BE0B4E"/>
    <w:rsid w:val="00C57970"/>
    <w:rsid w:val="00CC0E2B"/>
    <w:rsid w:val="00CD4D2A"/>
    <w:rsid w:val="00CD4ECC"/>
    <w:rsid w:val="00CD791B"/>
    <w:rsid w:val="00CD7F05"/>
    <w:rsid w:val="00CE55C8"/>
    <w:rsid w:val="00CE5BEC"/>
    <w:rsid w:val="00D141C2"/>
    <w:rsid w:val="00D21F44"/>
    <w:rsid w:val="00D27D2F"/>
    <w:rsid w:val="00D27ED2"/>
    <w:rsid w:val="00D33FE5"/>
    <w:rsid w:val="00D76DAC"/>
    <w:rsid w:val="00D8375F"/>
    <w:rsid w:val="00D9030E"/>
    <w:rsid w:val="00DB4B0D"/>
    <w:rsid w:val="00DD1E40"/>
    <w:rsid w:val="00DE33E6"/>
    <w:rsid w:val="00DF568B"/>
    <w:rsid w:val="00E42616"/>
    <w:rsid w:val="00E6210B"/>
    <w:rsid w:val="00E66558"/>
    <w:rsid w:val="00E665CF"/>
    <w:rsid w:val="00EC6D12"/>
    <w:rsid w:val="00ED2E22"/>
    <w:rsid w:val="00ED35ED"/>
    <w:rsid w:val="00EE11EE"/>
    <w:rsid w:val="00EE6CED"/>
    <w:rsid w:val="00F00FB8"/>
    <w:rsid w:val="00F019BA"/>
    <w:rsid w:val="00F257E6"/>
    <w:rsid w:val="00F75CF7"/>
    <w:rsid w:val="00F76BFB"/>
    <w:rsid w:val="00FB0F8B"/>
    <w:rsid w:val="00FE031F"/>
    <w:rsid w:val="02AF062C"/>
    <w:rsid w:val="043F174C"/>
    <w:rsid w:val="05761702"/>
    <w:rsid w:val="07792903"/>
    <w:rsid w:val="081F0310"/>
    <w:rsid w:val="09F4F062"/>
    <w:rsid w:val="0A916CDB"/>
    <w:rsid w:val="0CE441DA"/>
    <w:rsid w:val="0DE3B6B4"/>
    <w:rsid w:val="0E3A0466"/>
    <w:rsid w:val="115E3CF7"/>
    <w:rsid w:val="15FB69F2"/>
    <w:rsid w:val="16D7654E"/>
    <w:rsid w:val="1919E257"/>
    <w:rsid w:val="1A5B9C1C"/>
    <w:rsid w:val="1BEE8F78"/>
    <w:rsid w:val="1D15A4C4"/>
    <w:rsid w:val="1D46A6D2"/>
    <w:rsid w:val="1F68AED5"/>
    <w:rsid w:val="1F9873D9"/>
    <w:rsid w:val="207E4794"/>
    <w:rsid w:val="221A17F5"/>
    <w:rsid w:val="233B5E43"/>
    <w:rsid w:val="27E7A999"/>
    <w:rsid w:val="2802197F"/>
    <w:rsid w:val="2A2BD126"/>
    <w:rsid w:val="2D64B822"/>
    <w:rsid w:val="2F008883"/>
    <w:rsid w:val="31C8566B"/>
    <w:rsid w:val="3452B8DA"/>
    <w:rsid w:val="354D535E"/>
    <w:rsid w:val="3884F420"/>
    <w:rsid w:val="3A433B2A"/>
    <w:rsid w:val="3BDF0B8B"/>
    <w:rsid w:val="3D586543"/>
    <w:rsid w:val="3D5EFD8F"/>
    <w:rsid w:val="3EF435A4"/>
    <w:rsid w:val="41264DD9"/>
    <w:rsid w:val="42AF30DA"/>
    <w:rsid w:val="446AC4E5"/>
    <w:rsid w:val="48A30570"/>
    <w:rsid w:val="4B5CF9EC"/>
    <w:rsid w:val="4B7D1E5B"/>
    <w:rsid w:val="4BDAA632"/>
    <w:rsid w:val="4C7039E6"/>
    <w:rsid w:val="4D459CF6"/>
    <w:rsid w:val="4E99D544"/>
    <w:rsid w:val="4EEAC508"/>
    <w:rsid w:val="50AE1755"/>
    <w:rsid w:val="51A33B0E"/>
    <w:rsid w:val="520CD8C1"/>
    <w:rsid w:val="52C9090D"/>
    <w:rsid w:val="5844146D"/>
    <w:rsid w:val="5CBBB3DD"/>
    <w:rsid w:val="5D53BFBE"/>
    <w:rsid w:val="61B71F8B"/>
    <w:rsid w:val="693993D7"/>
    <w:rsid w:val="6F76599C"/>
    <w:rsid w:val="6FF66C8F"/>
    <w:rsid w:val="77D8E520"/>
    <w:rsid w:val="7821A8D6"/>
    <w:rsid w:val="7CC5FCBC"/>
    <w:rsid w:val="7EC76A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customStyle="1" w:styleId="paragraph">
    <w:name w:val="paragraph"/>
    <w:basedOn w:val="Normal"/>
    <w:rsid w:val="00B510F8"/>
    <w:pPr>
      <w:suppressAutoHyphens w:val="0"/>
      <w:autoSpaceDN/>
      <w:spacing w:before="100" w:beforeAutospacing="1" w:after="100" w:afterAutospacing="1" w:line="240" w:lineRule="auto"/>
    </w:pPr>
    <w:rPr>
      <w:rFonts w:ascii="Times New Roman" w:hAnsi="Times New Roman"/>
      <w:color w:val="auto"/>
    </w:rPr>
  </w:style>
  <w:style w:type="character" w:customStyle="1" w:styleId="normaltextrun">
    <w:name w:val="normaltextrun"/>
    <w:basedOn w:val="DefaultParagraphFont"/>
    <w:rsid w:val="00B510F8"/>
  </w:style>
  <w:style w:type="character" w:customStyle="1" w:styleId="eop">
    <w:name w:val="eop"/>
    <w:basedOn w:val="DefaultParagraphFont"/>
    <w:rsid w:val="00B510F8"/>
  </w:style>
  <w:style w:type="table" w:styleId="TableGrid">
    <w:name w:val="Table Grid"/>
    <w:basedOn w:val="TableNormal"/>
    <w:uiPriority w:val="59"/>
    <w:rsid w:val="00A04682"/>
    <w:pPr>
      <w:autoSpaceDN/>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723DF1"/>
    <w:rPr>
      <w:color w:val="0D0D0D"/>
      <w:sz w:val="24"/>
      <w:szCs w:val="24"/>
    </w:rPr>
  </w:style>
  <w:style w:type="character" w:customStyle="1" w:styleId="ui-provider">
    <w:name w:val="ui-provider"/>
    <w:basedOn w:val="DefaultParagraphFont"/>
    <w:rsid w:val="00723D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33021">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201867199">
          <w:marLeft w:val="0"/>
          <w:marRight w:val="0"/>
          <w:marTop w:val="0"/>
          <w:marBottom w:val="0"/>
          <w:divBdr>
            <w:top w:val="none" w:sz="0" w:space="0" w:color="auto"/>
            <w:left w:val="none" w:sz="0" w:space="0" w:color="auto"/>
            <w:bottom w:val="none" w:sz="0" w:space="0" w:color="auto"/>
            <w:right w:val="none" w:sz="0" w:space="0" w:color="auto"/>
          </w:divBdr>
        </w:div>
        <w:div w:id="529803804">
          <w:marLeft w:val="0"/>
          <w:marRight w:val="0"/>
          <w:marTop w:val="0"/>
          <w:marBottom w:val="0"/>
          <w:divBdr>
            <w:top w:val="none" w:sz="0" w:space="0" w:color="auto"/>
            <w:left w:val="none" w:sz="0" w:space="0" w:color="auto"/>
            <w:bottom w:val="none" w:sz="0" w:space="0" w:color="auto"/>
            <w:right w:val="none" w:sz="0" w:space="0" w:color="auto"/>
          </w:divBdr>
        </w:div>
        <w:div w:id="2019649854">
          <w:marLeft w:val="0"/>
          <w:marRight w:val="0"/>
          <w:marTop w:val="0"/>
          <w:marBottom w:val="0"/>
          <w:divBdr>
            <w:top w:val="none" w:sz="0" w:space="0" w:color="auto"/>
            <w:left w:val="none" w:sz="0" w:space="0" w:color="auto"/>
            <w:bottom w:val="none" w:sz="0" w:space="0" w:color="auto"/>
            <w:right w:val="none" w:sz="0" w:space="0" w:color="auto"/>
          </w:divBdr>
        </w:div>
      </w:divsChild>
    </w:div>
    <w:div w:id="605424496">
      <w:bodyDiv w:val="1"/>
      <w:marLeft w:val="0"/>
      <w:marRight w:val="0"/>
      <w:marTop w:val="0"/>
      <w:marBottom w:val="0"/>
      <w:divBdr>
        <w:top w:val="none" w:sz="0" w:space="0" w:color="auto"/>
        <w:left w:val="none" w:sz="0" w:space="0" w:color="auto"/>
        <w:bottom w:val="none" w:sz="0" w:space="0" w:color="auto"/>
        <w:right w:val="none" w:sz="0" w:space="0" w:color="auto"/>
      </w:divBdr>
    </w:div>
    <w:div w:id="729116984">
      <w:bodyDiv w:val="1"/>
      <w:marLeft w:val="0"/>
      <w:marRight w:val="0"/>
      <w:marTop w:val="0"/>
      <w:marBottom w:val="0"/>
      <w:divBdr>
        <w:top w:val="none" w:sz="0" w:space="0" w:color="auto"/>
        <w:left w:val="none" w:sz="0" w:space="0" w:color="auto"/>
        <w:bottom w:val="none" w:sz="0" w:space="0" w:color="auto"/>
        <w:right w:val="none" w:sz="0" w:space="0" w:color="auto"/>
      </w:divBdr>
      <w:divsChild>
        <w:div w:id="1058675531">
          <w:marLeft w:val="0"/>
          <w:marRight w:val="0"/>
          <w:marTop w:val="0"/>
          <w:marBottom w:val="0"/>
          <w:divBdr>
            <w:top w:val="none" w:sz="0" w:space="0" w:color="auto"/>
            <w:left w:val="none" w:sz="0" w:space="0" w:color="auto"/>
            <w:bottom w:val="none" w:sz="0" w:space="0" w:color="auto"/>
            <w:right w:val="none" w:sz="0" w:space="0" w:color="auto"/>
          </w:divBdr>
          <w:divsChild>
            <w:div w:id="851455071">
              <w:marLeft w:val="0"/>
              <w:marRight w:val="0"/>
              <w:marTop w:val="0"/>
              <w:marBottom w:val="0"/>
              <w:divBdr>
                <w:top w:val="none" w:sz="0" w:space="0" w:color="auto"/>
                <w:left w:val="none" w:sz="0" w:space="0" w:color="auto"/>
                <w:bottom w:val="none" w:sz="0" w:space="0" w:color="auto"/>
                <w:right w:val="none" w:sz="0" w:space="0" w:color="auto"/>
              </w:divBdr>
            </w:div>
          </w:divsChild>
        </w:div>
        <w:div w:id="1257447534">
          <w:marLeft w:val="0"/>
          <w:marRight w:val="0"/>
          <w:marTop w:val="0"/>
          <w:marBottom w:val="0"/>
          <w:divBdr>
            <w:top w:val="none" w:sz="0" w:space="0" w:color="auto"/>
            <w:left w:val="none" w:sz="0" w:space="0" w:color="auto"/>
            <w:bottom w:val="none" w:sz="0" w:space="0" w:color="auto"/>
            <w:right w:val="none" w:sz="0" w:space="0" w:color="auto"/>
          </w:divBdr>
          <w:divsChild>
            <w:div w:id="733896699">
              <w:marLeft w:val="0"/>
              <w:marRight w:val="0"/>
              <w:marTop w:val="0"/>
              <w:marBottom w:val="0"/>
              <w:divBdr>
                <w:top w:val="none" w:sz="0" w:space="0" w:color="auto"/>
                <w:left w:val="none" w:sz="0" w:space="0" w:color="auto"/>
                <w:bottom w:val="none" w:sz="0" w:space="0" w:color="auto"/>
                <w:right w:val="none" w:sz="0" w:space="0" w:color="auto"/>
              </w:divBdr>
            </w:div>
          </w:divsChild>
        </w:div>
        <w:div w:id="1318194924">
          <w:marLeft w:val="0"/>
          <w:marRight w:val="0"/>
          <w:marTop w:val="0"/>
          <w:marBottom w:val="0"/>
          <w:divBdr>
            <w:top w:val="none" w:sz="0" w:space="0" w:color="auto"/>
            <w:left w:val="none" w:sz="0" w:space="0" w:color="auto"/>
            <w:bottom w:val="none" w:sz="0" w:space="0" w:color="auto"/>
            <w:right w:val="none" w:sz="0" w:space="0" w:color="auto"/>
          </w:divBdr>
          <w:divsChild>
            <w:div w:id="996691328">
              <w:marLeft w:val="0"/>
              <w:marRight w:val="0"/>
              <w:marTop w:val="0"/>
              <w:marBottom w:val="0"/>
              <w:divBdr>
                <w:top w:val="none" w:sz="0" w:space="0" w:color="auto"/>
                <w:left w:val="none" w:sz="0" w:space="0" w:color="auto"/>
                <w:bottom w:val="none" w:sz="0" w:space="0" w:color="auto"/>
                <w:right w:val="none" w:sz="0" w:space="0" w:color="auto"/>
              </w:divBdr>
            </w:div>
          </w:divsChild>
        </w:div>
        <w:div w:id="683287148">
          <w:marLeft w:val="0"/>
          <w:marRight w:val="0"/>
          <w:marTop w:val="0"/>
          <w:marBottom w:val="0"/>
          <w:divBdr>
            <w:top w:val="none" w:sz="0" w:space="0" w:color="auto"/>
            <w:left w:val="none" w:sz="0" w:space="0" w:color="auto"/>
            <w:bottom w:val="none" w:sz="0" w:space="0" w:color="auto"/>
            <w:right w:val="none" w:sz="0" w:space="0" w:color="auto"/>
          </w:divBdr>
          <w:divsChild>
            <w:div w:id="1905339069">
              <w:marLeft w:val="0"/>
              <w:marRight w:val="0"/>
              <w:marTop w:val="0"/>
              <w:marBottom w:val="0"/>
              <w:divBdr>
                <w:top w:val="none" w:sz="0" w:space="0" w:color="auto"/>
                <w:left w:val="none" w:sz="0" w:space="0" w:color="auto"/>
                <w:bottom w:val="none" w:sz="0" w:space="0" w:color="auto"/>
                <w:right w:val="none" w:sz="0" w:space="0" w:color="auto"/>
              </w:divBdr>
            </w:div>
          </w:divsChild>
        </w:div>
        <w:div w:id="2044403332">
          <w:marLeft w:val="0"/>
          <w:marRight w:val="0"/>
          <w:marTop w:val="0"/>
          <w:marBottom w:val="0"/>
          <w:divBdr>
            <w:top w:val="none" w:sz="0" w:space="0" w:color="auto"/>
            <w:left w:val="none" w:sz="0" w:space="0" w:color="auto"/>
            <w:bottom w:val="none" w:sz="0" w:space="0" w:color="auto"/>
            <w:right w:val="none" w:sz="0" w:space="0" w:color="auto"/>
          </w:divBdr>
          <w:divsChild>
            <w:div w:id="455415039">
              <w:marLeft w:val="0"/>
              <w:marRight w:val="0"/>
              <w:marTop w:val="0"/>
              <w:marBottom w:val="0"/>
              <w:divBdr>
                <w:top w:val="none" w:sz="0" w:space="0" w:color="auto"/>
                <w:left w:val="none" w:sz="0" w:space="0" w:color="auto"/>
                <w:bottom w:val="none" w:sz="0" w:space="0" w:color="auto"/>
                <w:right w:val="none" w:sz="0" w:space="0" w:color="auto"/>
              </w:divBdr>
            </w:div>
          </w:divsChild>
        </w:div>
        <w:div w:id="2103453209">
          <w:marLeft w:val="0"/>
          <w:marRight w:val="0"/>
          <w:marTop w:val="0"/>
          <w:marBottom w:val="0"/>
          <w:divBdr>
            <w:top w:val="none" w:sz="0" w:space="0" w:color="auto"/>
            <w:left w:val="none" w:sz="0" w:space="0" w:color="auto"/>
            <w:bottom w:val="none" w:sz="0" w:space="0" w:color="auto"/>
            <w:right w:val="none" w:sz="0" w:space="0" w:color="auto"/>
          </w:divBdr>
          <w:divsChild>
            <w:div w:id="960458766">
              <w:marLeft w:val="0"/>
              <w:marRight w:val="0"/>
              <w:marTop w:val="0"/>
              <w:marBottom w:val="0"/>
              <w:divBdr>
                <w:top w:val="none" w:sz="0" w:space="0" w:color="auto"/>
                <w:left w:val="none" w:sz="0" w:space="0" w:color="auto"/>
                <w:bottom w:val="none" w:sz="0" w:space="0" w:color="auto"/>
                <w:right w:val="none" w:sz="0" w:space="0" w:color="auto"/>
              </w:divBdr>
            </w:div>
          </w:divsChild>
        </w:div>
        <w:div w:id="1267732468">
          <w:marLeft w:val="0"/>
          <w:marRight w:val="0"/>
          <w:marTop w:val="0"/>
          <w:marBottom w:val="0"/>
          <w:divBdr>
            <w:top w:val="none" w:sz="0" w:space="0" w:color="auto"/>
            <w:left w:val="none" w:sz="0" w:space="0" w:color="auto"/>
            <w:bottom w:val="none" w:sz="0" w:space="0" w:color="auto"/>
            <w:right w:val="none" w:sz="0" w:space="0" w:color="auto"/>
          </w:divBdr>
          <w:divsChild>
            <w:div w:id="264849018">
              <w:marLeft w:val="0"/>
              <w:marRight w:val="0"/>
              <w:marTop w:val="0"/>
              <w:marBottom w:val="0"/>
              <w:divBdr>
                <w:top w:val="none" w:sz="0" w:space="0" w:color="auto"/>
                <w:left w:val="none" w:sz="0" w:space="0" w:color="auto"/>
                <w:bottom w:val="none" w:sz="0" w:space="0" w:color="auto"/>
                <w:right w:val="none" w:sz="0" w:space="0" w:color="auto"/>
              </w:divBdr>
            </w:div>
          </w:divsChild>
        </w:div>
        <w:div w:id="259142993">
          <w:marLeft w:val="0"/>
          <w:marRight w:val="0"/>
          <w:marTop w:val="0"/>
          <w:marBottom w:val="0"/>
          <w:divBdr>
            <w:top w:val="none" w:sz="0" w:space="0" w:color="auto"/>
            <w:left w:val="none" w:sz="0" w:space="0" w:color="auto"/>
            <w:bottom w:val="none" w:sz="0" w:space="0" w:color="auto"/>
            <w:right w:val="none" w:sz="0" w:space="0" w:color="auto"/>
          </w:divBdr>
          <w:divsChild>
            <w:div w:id="293952665">
              <w:marLeft w:val="0"/>
              <w:marRight w:val="0"/>
              <w:marTop w:val="0"/>
              <w:marBottom w:val="0"/>
              <w:divBdr>
                <w:top w:val="none" w:sz="0" w:space="0" w:color="auto"/>
                <w:left w:val="none" w:sz="0" w:space="0" w:color="auto"/>
                <w:bottom w:val="none" w:sz="0" w:space="0" w:color="auto"/>
                <w:right w:val="none" w:sz="0" w:space="0" w:color="auto"/>
              </w:divBdr>
            </w:div>
          </w:divsChild>
        </w:div>
        <w:div w:id="2147315117">
          <w:marLeft w:val="0"/>
          <w:marRight w:val="0"/>
          <w:marTop w:val="0"/>
          <w:marBottom w:val="0"/>
          <w:divBdr>
            <w:top w:val="none" w:sz="0" w:space="0" w:color="auto"/>
            <w:left w:val="none" w:sz="0" w:space="0" w:color="auto"/>
            <w:bottom w:val="none" w:sz="0" w:space="0" w:color="auto"/>
            <w:right w:val="none" w:sz="0" w:space="0" w:color="auto"/>
          </w:divBdr>
          <w:divsChild>
            <w:div w:id="41296588">
              <w:marLeft w:val="0"/>
              <w:marRight w:val="0"/>
              <w:marTop w:val="0"/>
              <w:marBottom w:val="0"/>
              <w:divBdr>
                <w:top w:val="none" w:sz="0" w:space="0" w:color="auto"/>
                <w:left w:val="none" w:sz="0" w:space="0" w:color="auto"/>
                <w:bottom w:val="none" w:sz="0" w:space="0" w:color="auto"/>
                <w:right w:val="none" w:sz="0" w:space="0" w:color="auto"/>
              </w:divBdr>
            </w:div>
          </w:divsChild>
        </w:div>
        <w:div w:id="1261792109">
          <w:marLeft w:val="0"/>
          <w:marRight w:val="0"/>
          <w:marTop w:val="0"/>
          <w:marBottom w:val="0"/>
          <w:divBdr>
            <w:top w:val="none" w:sz="0" w:space="0" w:color="auto"/>
            <w:left w:val="none" w:sz="0" w:space="0" w:color="auto"/>
            <w:bottom w:val="none" w:sz="0" w:space="0" w:color="auto"/>
            <w:right w:val="none" w:sz="0" w:space="0" w:color="auto"/>
          </w:divBdr>
          <w:divsChild>
            <w:div w:id="869536785">
              <w:marLeft w:val="0"/>
              <w:marRight w:val="0"/>
              <w:marTop w:val="0"/>
              <w:marBottom w:val="0"/>
              <w:divBdr>
                <w:top w:val="none" w:sz="0" w:space="0" w:color="auto"/>
                <w:left w:val="none" w:sz="0" w:space="0" w:color="auto"/>
                <w:bottom w:val="none" w:sz="0" w:space="0" w:color="auto"/>
                <w:right w:val="none" w:sz="0" w:space="0" w:color="auto"/>
              </w:divBdr>
            </w:div>
          </w:divsChild>
        </w:div>
        <w:div w:id="561020471">
          <w:marLeft w:val="0"/>
          <w:marRight w:val="0"/>
          <w:marTop w:val="0"/>
          <w:marBottom w:val="0"/>
          <w:divBdr>
            <w:top w:val="none" w:sz="0" w:space="0" w:color="auto"/>
            <w:left w:val="none" w:sz="0" w:space="0" w:color="auto"/>
            <w:bottom w:val="none" w:sz="0" w:space="0" w:color="auto"/>
            <w:right w:val="none" w:sz="0" w:space="0" w:color="auto"/>
          </w:divBdr>
          <w:divsChild>
            <w:div w:id="1353216829">
              <w:marLeft w:val="0"/>
              <w:marRight w:val="0"/>
              <w:marTop w:val="0"/>
              <w:marBottom w:val="0"/>
              <w:divBdr>
                <w:top w:val="none" w:sz="0" w:space="0" w:color="auto"/>
                <w:left w:val="none" w:sz="0" w:space="0" w:color="auto"/>
                <w:bottom w:val="none" w:sz="0" w:space="0" w:color="auto"/>
                <w:right w:val="none" w:sz="0" w:space="0" w:color="auto"/>
              </w:divBdr>
            </w:div>
          </w:divsChild>
        </w:div>
        <w:div w:id="752819916">
          <w:marLeft w:val="0"/>
          <w:marRight w:val="0"/>
          <w:marTop w:val="0"/>
          <w:marBottom w:val="0"/>
          <w:divBdr>
            <w:top w:val="none" w:sz="0" w:space="0" w:color="auto"/>
            <w:left w:val="none" w:sz="0" w:space="0" w:color="auto"/>
            <w:bottom w:val="none" w:sz="0" w:space="0" w:color="auto"/>
            <w:right w:val="none" w:sz="0" w:space="0" w:color="auto"/>
          </w:divBdr>
          <w:divsChild>
            <w:div w:id="665326651">
              <w:marLeft w:val="0"/>
              <w:marRight w:val="0"/>
              <w:marTop w:val="0"/>
              <w:marBottom w:val="0"/>
              <w:divBdr>
                <w:top w:val="none" w:sz="0" w:space="0" w:color="auto"/>
                <w:left w:val="none" w:sz="0" w:space="0" w:color="auto"/>
                <w:bottom w:val="none" w:sz="0" w:space="0" w:color="auto"/>
                <w:right w:val="none" w:sz="0" w:space="0" w:color="auto"/>
              </w:divBdr>
            </w:div>
          </w:divsChild>
        </w:div>
        <w:div w:id="1512066888">
          <w:marLeft w:val="0"/>
          <w:marRight w:val="0"/>
          <w:marTop w:val="0"/>
          <w:marBottom w:val="0"/>
          <w:divBdr>
            <w:top w:val="none" w:sz="0" w:space="0" w:color="auto"/>
            <w:left w:val="none" w:sz="0" w:space="0" w:color="auto"/>
            <w:bottom w:val="none" w:sz="0" w:space="0" w:color="auto"/>
            <w:right w:val="none" w:sz="0" w:space="0" w:color="auto"/>
          </w:divBdr>
          <w:divsChild>
            <w:div w:id="398401140">
              <w:marLeft w:val="0"/>
              <w:marRight w:val="0"/>
              <w:marTop w:val="0"/>
              <w:marBottom w:val="0"/>
              <w:divBdr>
                <w:top w:val="none" w:sz="0" w:space="0" w:color="auto"/>
                <w:left w:val="none" w:sz="0" w:space="0" w:color="auto"/>
                <w:bottom w:val="none" w:sz="0" w:space="0" w:color="auto"/>
                <w:right w:val="none" w:sz="0" w:space="0" w:color="auto"/>
              </w:divBdr>
            </w:div>
          </w:divsChild>
        </w:div>
        <w:div w:id="2027828671">
          <w:marLeft w:val="0"/>
          <w:marRight w:val="0"/>
          <w:marTop w:val="0"/>
          <w:marBottom w:val="0"/>
          <w:divBdr>
            <w:top w:val="none" w:sz="0" w:space="0" w:color="auto"/>
            <w:left w:val="none" w:sz="0" w:space="0" w:color="auto"/>
            <w:bottom w:val="none" w:sz="0" w:space="0" w:color="auto"/>
            <w:right w:val="none" w:sz="0" w:space="0" w:color="auto"/>
          </w:divBdr>
          <w:divsChild>
            <w:div w:id="287861917">
              <w:marLeft w:val="0"/>
              <w:marRight w:val="0"/>
              <w:marTop w:val="0"/>
              <w:marBottom w:val="0"/>
              <w:divBdr>
                <w:top w:val="none" w:sz="0" w:space="0" w:color="auto"/>
                <w:left w:val="none" w:sz="0" w:space="0" w:color="auto"/>
                <w:bottom w:val="none" w:sz="0" w:space="0" w:color="auto"/>
                <w:right w:val="none" w:sz="0" w:space="0" w:color="auto"/>
              </w:divBdr>
            </w:div>
          </w:divsChild>
        </w:div>
        <w:div w:id="1854760062">
          <w:marLeft w:val="0"/>
          <w:marRight w:val="0"/>
          <w:marTop w:val="0"/>
          <w:marBottom w:val="0"/>
          <w:divBdr>
            <w:top w:val="none" w:sz="0" w:space="0" w:color="auto"/>
            <w:left w:val="none" w:sz="0" w:space="0" w:color="auto"/>
            <w:bottom w:val="none" w:sz="0" w:space="0" w:color="auto"/>
            <w:right w:val="none" w:sz="0" w:space="0" w:color="auto"/>
          </w:divBdr>
          <w:divsChild>
            <w:div w:id="1763918081">
              <w:marLeft w:val="0"/>
              <w:marRight w:val="0"/>
              <w:marTop w:val="0"/>
              <w:marBottom w:val="0"/>
              <w:divBdr>
                <w:top w:val="none" w:sz="0" w:space="0" w:color="auto"/>
                <w:left w:val="none" w:sz="0" w:space="0" w:color="auto"/>
                <w:bottom w:val="none" w:sz="0" w:space="0" w:color="auto"/>
                <w:right w:val="none" w:sz="0" w:space="0" w:color="auto"/>
              </w:divBdr>
            </w:div>
          </w:divsChild>
        </w:div>
        <w:div w:id="154802431">
          <w:marLeft w:val="0"/>
          <w:marRight w:val="0"/>
          <w:marTop w:val="0"/>
          <w:marBottom w:val="0"/>
          <w:divBdr>
            <w:top w:val="none" w:sz="0" w:space="0" w:color="auto"/>
            <w:left w:val="none" w:sz="0" w:space="0" w:color="auto"/>
            <w:bottom w:val="none" w:sz="0" w:space="0" w:color="auto"/>
            <w:right w:val="none" w:sz="0" w:space="0" w:color="auto"/>
          </w:divBdr>
          <w:divsChild>
            <w:div w:id="1688557321">
              <w:marLeft w:val="0"/>
              <w:marRight w:val="0"/>
              <w:marTop w:val="0"/>
              <w:marBottom w:val="0"/>
              <w:divBdr>
                <w:top w:val="none" w:sz="0" w:space="0" w:color="auto"/>
                <w:left w:val="none" w:sz="0" w:space="0" w:color="auto"/>
                <w:bottom w:val="none" w:sz="0" w:space="0" w:color="auto"/>
                <w:right w:val="none" w:sz="0" w:space="0" w:color="auto"/>
              </w:divBdr>
            </w:div>
          </w:divsChild>
        </w:div>
        <w:div w:id="1726681811">
          <w:marLeft w:val="0"/>
          <w:marRight w:val="0"/>
          <w:marTop w:val="0"/>
          <w:marBottom w:val="0"/>
          <w:divBdr>
            <w:top w:val="none" w:sz="0" w:space="0" w:color="auto"/>
            <w:left w:val="none" w:sz="0" w:space="0" w:color="auto"/>
            <w:bottom w:val="none" w:sz="0" w:space="0" w:color="auto"/>
            <w:right w:val="none" w:sz="0" w:space="0" w:color="auto"/>
          </w:divBdr>
          <w:divsChild>
            <w:div w:id="2027630665">
              <w:marLeft w:val="0"/>
              <w:marRight w:val="0"/>
              <w:marTop w:val="0"/>
              <w:marBottom w:val="0"/>
              <w:divBdr>
                <w:top w:val="none" w:sz="0" w:space="0" w:color="auto"/>
                <w:left w:val="none" w:sz="0" w:space="0" w:color="auto"/>
                <w:bottom w:val="none" w:sz="0" w:space="0" w:color="auto"/>
                <w:right w:val="none" w:sz="0" w:space="0" w:color="auto"/>
              </w:divBdr>
            </w:div>
          </w:divsChild>
        </w:div>
        <w:div w:id="823621532">
          <w:marLeft w:val="0"/>
          <w:marRight w:val="0"/>
          <w:marTop w:val="0"/>
          <w:marBottom w:val="0"/>
          <w:divBdr>
            <w:top w:val="none" w:sz="0" w:space="0" w:color="auto"/>
            <w:left w:val="none" w:sz="0" w:space="0" w:color="auto"/>
            <w:bottom w:val="none" w:sz="0" w:space="0" w:color="auto"/>
            <w:right w:val="none" w:sz="0" w:space="0" w:color="auto"/>
          </w:divBdr>
          <w:divsChild>
            <w:div w:id="931476742">
              <w:marLeft w:val="0"/>
              <w:marRight w:val="0"/>
              <w:marTop w:val="0"/>
              <w:marBottom w:val="0"/>
              <w:divBdr>
                <w:top w:val="none" w:sz="0" w:space="0" w:color="auto"/>
                <w:left w:val="none" w:sz="0" w:space="0" w:color="auto"/>
                <w:bottom w:val="none" w:sz="0" w:space="0" w:color="auto"/>
                <w:right w:val="none" w:sz="0" w:space="0" w:color="auto"/>
              </w:divBdr>
            </w:div>
          </w:divsChild>
        </w:div>
        <w:div w:id="440032323">
          <w:marLeft w:val="0"/>
          <w:marRight w:val="0"/>
          <w:marTop w:val="0"/>
          <w:marBottom w:val="0"/>
          <w:divBdr>
            <w:top w:val="none" w:sz="0" w:space="0" w:color="auto"/>
            <w:left w:val="none" w:sz="0" w:space="0" w:color="auto"/>
            <w:bottom w:val="none" w:sz="0" w:space="0" w:color="auto"/>
            <w:right w:val="none" w:sz="0" w:space="0" w:color="auto"/>
          </w:divBdr>
          <w:divsChild>
            <w:div w:id="1218205983">
              <w:marLeft w:val="0"/>
              <w:marRight w:val="0"/>
              <w:marTop w:val="0"/>
              <w:marBottom w:val="0"/>
              <w:divBdr>
                <w:top w:val="none" w:sz="0" w:space="0" w:color="auto"/>
                <w:left w:val="none" w:sz="0" w:space="0" w:color="auto"/>
                <w:bottom w:val="none" w:sz="0" w:space="0" w:color="auto"/>
                <w:right w:val="none" w:sz="0" w:space="0" w:color="auto"/>
              </w:divBdr>
            </w:div>
          </w:divsChild>
        </w:div>
        <w:div w:id="80949420">
          <w:marLeft w:val="0"/>
          <w:marRight w:val="0"/>
          <w:marTop w:val="0"/>
          <w:marBottom w:val="0"/>
          <w:divBdr>
            <w:top w:val="none" w:sz="0" w:space="0" w:color="auto"/>
            <w:left w:val="none" w:sz="0" w:space="0" w:color="auto"/>
            <w:bottom w:val="none" w:sz="0" w:space="0" w:color="auto"/>
            <w:right w:val="none" w:sz="0" w:space="0" w:color="auto"/>
          </w:divBdr>
          <w:divsChild>
            <w:div w:id="503936929">
              <w:marLeft w:val="0"/>
              <w:marRight w:val="0"/>
              <w:marTop w:val="0"/>
              <w:marBottom w:val="0"/>
              <w:divBdr>
                <w:top w:val="none" w:sz="0" w:space="0" w:color="auto"/>
                <w:left w:val="none" w:sz="0" w:space="0" w:color="auto"/>
                <w:bottom w:val="none" w:sz="0" w:space="0" w:color="auto"/>
                <w:right w:val="none" w:sz="0" w:space="0" w:color="auto"/>
              </w:divBdr>
            </w:div>
          </w:divsChild>
        </w:div>
        <w:div w:id="1197618991">
          <w:marLeft w:val="0"/>
          <w:marRight w:val="0"/>
          <w:marTop w:val="0"/>
          <w:marBottom w:val="0"/>
          <w:divBdr>
            <w:top w:val="none" w:sz="0" w:space="0" w:color="auto"/>
            <w:left w:val="none" w:sz="0" w:space="0" w:color="auto"/>
            <w:bottom w:val="none" w:sz="0" w:space="0" w:color="auto"/>
            <w:right w:val="none" w:sz="0" w:space="0" w:color="auto"/>
          </w:divBdr>
          <w:divsChild>
            <w:div w:id="974989440">
              <w:marLeft w:val="0"/>
              <w:marRight w:val="0"/>
              <w:marTop w:val="0"/>
              <w:marBottom w:val="0"/>
              <w:divBdr>
                <w:top w:val="none" w:sz="0" w:space="0" w:color="auto"/>
                <w:left w:val="none" w:sz="0" w:space="0" w:color="auto"/>
                <w:bottom w:val="none" w:sz="0" w:space="0" w:color="auto"/>
                <w:right w:val="none" w:sz="0" w:space="0" w:color="auto"/>
              </w:divBdr>
            </w:div>
          </w:divsChild>
        </w:div>
        <w:div w:id="1221405835">
          <w:marLeft w:val="0"/>
          <w:marRight w:val="0"/>
          <w:marTop w:val="0"/>
          <w:marBottom w:val="0"/>
          <w:divBdr>
            <w:top w:val="none" w:sz="0" w:space="0" w:color="auto"/>
            <w:left w:val="none" w:sz="0" w:space="0" w:color="auto"/>
            <w:bottom w:val="none" w:sz="0" w:space="0" w:color="auto"/>
            <w:right w:val="none" w:sz="0" w:space="0" w:color="auto"/>
          </w:divBdr>
          <w:divsChild>
            <w:div w:id="713428571">
              <w:marLeft w:val="0"/>
              <w:marRight w:val="0"/>
              <w:marTop w:val="0"/>
              <w:marBottom w:val="0"/>
              <w:divBdr>
                <w:top w:val="none" w:sz="0" w:space="0" w:color="auto"/>
                <w:left w:val="none" w:sz="0" w:space="0" w:color="auto"/>
                <w:bottom w:val="none" w:sz="0" w:space="0" w:color="auto"/>
                <w:right w:val="none" w:sz="0" w:space="0" w:color="auto"/>
              </w:divBdr>
            </w:div>
          </w:divsChild>
        </w:div>
        <w:div w:id="1259020111">
          <w:marLeft w:val="0"/>
          <w:marRight w:val="0"/>
          <w:marTop w:val="0"/>
          <w:marBottom w:val="0"/>
          <w:divBdr>
            <w:top w:val="none" w:sz="0" w:space="0" w:color="auto"/>
            <w:left w:val="none" w:sz="0" w:space="0" w:color="auto"/>
            <w:bottom w:val="none" w:sz="0" w:space="0" w:color="auto"/>
            <w:right w:val="none" w:sz="0" w:space="0" w:color="auto"/>
          </w:divBdr>
          <w:divsChild>
            <w:div w:id="1829319899">
              <w:marLeft w:val="0"/>
              <w:marRight w:val="0"/>
              <w:marTop w:val="0"/>
              <w:marBottom w:val="0"/>
              <w:divBdr>
                <w:top w:val="none" w:sz="0" w:space="0" w:color="auto"/>
                <w:left w:val="none" w:sz="0" w:space="0" w:color="auto"/>
                <w:bottom w:val="none" w:sz="0" w:space="0" w:color="auto"/>
                <w:right w:val="none" w:sz="0" w:space="0" w:color="auto"/>
              </w:divBdr>
            </w:div>
          </w:divsChild>
        </w:div>
        <w:div w:id="1047606010">
          <w:marLeft w:val="0"/>
          <w:marRight w:val="0"/>
          <w:marTop w:val="0"/>
          <w:marBottom w:val="0"/>
          <w:divBdr>
            <w:top w:val="none" w:sz="0" w:space="0" w:color="auto"/>
            <w:left w:val="none" w:sz="0" w:space="0" w:color="auto"/>
            <w:bottom w:val="none" w:sz="0" w:space="0" w:color="auto"/>
            <w:right w:val="none" w:sz="0" w:space="0" w:color="auto"/>
          </w:divBdr>
          <w:divsChild>
            <w:div w:id="884760334">
              <w:marLeft w:val="0"/>
              <w:marRight w:val="0"/>
              <w:marTop w:val="0"/>
              <w:marBottom w:val="0"/>
              <w:divBdr>
                <w:top w:val="none" w:sz="0" w:space="0" w:color="auto"/>
                <w:left w:val="none" w:sz="0" w:space="0" w:color="auto"/>
                <w:bottom w:val="none" w:sz="0" w:space="0" w:color="auto"/>
                <w:right w:val="none" w:sz="0" w:space="0" w:color="auto"/>
              </w:divBdr>
            </w:div>
          </w:divsChild>
        </w:div>
        <w:div w:id="118307006">
          <w:marLeft w:val="0"/>
          <w:marRight w:val="0"/>
          <w:marTop w:val="0"/>
          <w:marBottom w:val="0"/>
          <w:divBdr>
            <w:top w:val="none" w:sz="0" w:space="0" w:color="auto"/>
            <w:left w:val="none" w:sz="0" w:space="0" w:color="auto"/>
            <w:bottom w:val="none" w:sz="0" w:space="0" w:color="auto"/>
            <w:right w:val="none" w:sz="0" w:space="0" w:color="auto"/>
          </w:divBdr>
          <w:divsChild>
            <w:div w:id="1121920490">
              <w:marLeft w:val="0"/>
              <w:marRight w:val="0"/>
              <w:marTop w:val="0"/>
              <w:marBottom w:val="0"/>
              <w:divBdr>
                <w:top w:val="none" w:sz="0" w:space="0" w:color="auto"/>
                <w:left w:val="none" w:sz="0" w:space="0" w:color="auto"/>
                <w:bottom w:val="none" w:sz="0" w:space="0" w:color="auto"/>
                <w:right w:val="none" w:sz="0" w:space="0" w:color="auto"/>
              </w:divBdr>
            </w:div>
          </w:divsChild>
        </w:div>
        <w:div w:id="409810562">
          <w:marLeft w:val="0"/>
          <w:marRight w:val="0"/>
          <w:marTop w:val="0"/>
          <w:marBottom w:val="0"/>
          <w:divBdr>
            <w:top w:val="none" w:sz="0" w:space="0" w:color="auto"/>
            <w:left w:val="none" w:sz="0" w:space="0" w:color="auto"/>
            <w:bottom w:val="none" w:sz="0" w:space="0" w:color="auto"/>
            <w:right w:val="none" w:sz="0" w:space="0" w:color="auto"/>
          </w:divBdr>
          <w:divsChild>
            <w:div w:id="1608584954">
              <w:marLeft w:val="0"/>
              <w:marRight w:val="0"/>
              <w:marTop w:val="0"/>
              <w:marBottom w:val="0"/>
              <w:divBdr>
                <w:top w:val="none" w:sz="0" w:space="0" w:color="auto"/>
                <w:left w:val="none" w:sz="0" w:space="0" w:color="auto"/>
                <w:bottom w:val="none" w:sz="0" w:space="0" w:color="auto"/>
                <w:right w:val="none" w:sz="0" w:space="0" w:color="auto"/>
              </w:divBdr>
            </w:div>
          </w:divsChild>
        </w:div>
        <w:div w:id="339936176">
          <w:marLeft w:val="0"/>
          <w:marRight w:val="0"/>
          <w:marTop w:val="0"/>
          <w:marBottom w:val="0"/>
          <w:divBdr>
            <w:top w:val="none" w:sz="0" w:space="0" w:color="auto"/>
            <w:left w:val="none" w:sz="0" w:space="0" w:color="auto"/>
            <w:bottom w:val="none" w:sz="0" w:space="0" w:color="auto"/>
            <w:right w:val="none" w:sz="0" w:space="0" w:color="auto"/>
          </w:divBdr>
          <w:divsChild>
            <w:div w:id="1086070326">
              <w:marLeft w:val="0"/>
              <w:marRight w:val="0"/>
              <w:marTop w:val="0"/>
              <w:marBottom w:val="0"/>
              <w:divBdr>
                <w:top w:val="none" w:sz="0" w:space="0" w:color="auto"/>
                <w:left w:val="none" w:sz="0" w:space="0" w:color="auto"/>
                <w:bottom w:val="none" w:sz="0" w:space="0" w:color="auto"/>
                <w:right w:val="none" w:sz="0" w:space="0" w:color="auto"/>
              </w:divBdr>
            </w:div>
          </w:divsChild>
        </w:div>
        <w:div w:id="1256790717">
          <w:marLeft w:val="0"/>
          <w:marRight w:val="0"/>
          <w:marTop w:val="0"/>
          <w:marBottom w:val="0"/>
          <w:divBdr>
            <w:top w:val="none" w:sz="0" w:space="0" w:color="auto"/>
            <w:left w:val="none" w:sz="0" w:space="0" w:color="auto"/>
            <w:bottom w:val="none" w:sz="0" w:space="0" w:color="auto"/>
            <w:right w:val="none" w:sz="0" w:space="0" w:color="auto"/>
          </w:divBdr>
          <w:divsChild>
            <w:div w:id="45958498">
              <w:marLeft w:val="0"/>
              <w:marRight w:val="0"/>
              <w:marTop w:val="0"/>
              <w:marBottom w:val="0"/>
              <w:divBdr>
                <w:top w:val="none" w:sz="0" w:space="0" w:color="auto"/>
                <w:left w:val="none" w:sz="0" w:space="0" w:color="auto"/>
                <w:bottom w:val="none" w:sz="0" w:space="0" w:color="auto"/>
                <w:right w:val="none" w:sz="0" w:space="0" w:color="auto"/>
              </w:divBdr>
            </w:div>
          </w:divsChild>
        </w:div>
        <w:div w:id="927546179">
          <w:marLeft w:val="0"/>
          <w:marRight w:val="0"/>
          <w:marTop w:val="0"/>
          <w:marBottom w:val="0"/>
          <w:divBdr>
            <w:top w:val="none" w:sz="0" w:space="0" w:color="auto"/>
            <w:left w:val="none" w:sz="0" w:space="0" w:color="auto"/>
            <w:bottom w:val="none" w:sz="0" w:space="0" w:color="auto"/>
            <w:right w:val="none" w:sz="0" w:space="0" w:color="auto"/>
          </w:divBdr>
          <w:divsChild>
            <w:div w:id="1459108306">
              <w:marLeft w:val="0"/>
              <w:marRight w:val="0"/>
              <w:marTop w:val="0"/>
              <w:marBottom w:val="0"/>
              <w:divBdr>
                <w:top w:val="none" w:sz="0" w:space="0" w:color="auto"/>
                <w:left w:val="none" w:sz="0" w:space="0" w:color="auto"/>
                <w:bottom w:val="none" w:sz="0" w:space="0" w:color="auto"/>
                <w:right w:val="none" w:sz="0" w:space="0" w:color="auto"/>
              </w:divBdr>
            </w:div>
          </w:divsChild>
        </w:div>
        <w:div w:id="748042974">
          <w:marLeft w:val="0"/>
          <w:marRight w:val="0"/>
          <w:marTop w:val="0"/>
          <w:marBottom w:val="0"/>
          <w:divBdr>
            <w:top w:val="none" w:sz="0" w:space="0" w:color="auto"/>
            <w:left w:val="none" w:sz="0" w:space="0" w:color="auto"/>
            <w:bottom w:val="none" w:sz="0" w:space="0" w:color="auto"/>
            <w:right w:val="none" w:sz="0" w:space="0" w:color="auto"/>
          </w:divBdr>
          <w:divsChild>
            <w:div w:id="543369443">
              <w:marLeft w:val="0"/>
              <w:marRight w:val="0"/>
              <w:marTop w:val="0"/>
              <w:marBottom w:val="0"/>
              <w:divBdr>
                <w:top w:val="none" w:sz="0" w:space="0" w:color="auto"/>
                <w:left w:val="none" w:sz="0" w:space="0" w:color="auto"/>
                <w:bottom w:val="none" w:sz="0" w:space="0" w:color="auto"/>
                <w:right w:val="none" w:sz="0" w:space="0" w:color="auto"/>
              </w:divBdr>
            </w:div>
          </w:divsChild>
        </w:div>
        <w:div w:id="254437444">
          <w:marLeft w:val="0"/>
          <w:marRight w:val="0"/>
          <w:marTop w:val="0"/>
          <w:marBottom w:val="0"/>
          <w:divBdr>
            <w:top w:val="none" w:sz="0" w:space="0" w:color="auto"/>
            <w:left w:val="none" w:sz="0" w:space="0" w:color="auto"/>
            <w:bottom w:val="none" w:sz="0" w:space="0" w:color="auto"/>
            <w:right w:val="none" w:sz="0" w:space="0" w:color="auto"/>
          </w:divBdr>
          <w:divsChild>
            <w:div w:id="2092004077">
              <w:marLeft w:val="0"/>
              <w:marRight w:val="0"/>
              <w:marTop w:val="0"/>
              <w:marBottom w:val="0"/>
              <w:divBdr>
                <w:top w:val="none" w:sz="0" w:space="0" w:color="auto"/>
                <w:left w:val="none" w:sz="0" w:space="0" w:color="auto"/>
                <w:bottom w:val="none" w:sz="0" w:space="0" w:color="auto"/>
                <w:right w:val="none" w:sz="0" w:space="0" w:color="auto"/>
              </w:divBdr>
            </w:div>
          </w:divsChild>
        </w:div>
        <w:div w:id="1715810032">
          <w:marLeft w:val="0"/>
          <w:marRight w:val="0"/>
          <w:marTop w:val="0"/>
          <w:marBottom w:val="0"/>
          <w:divBdr>
            <w:top w:val="none" w:sz="0" w:space="0" w:color="auto"/>
            <w:left w:val="none" w:sz="0" w:space="0" w:color="auto"/>
            <w:bottom w:val="none" w:sz="0" w:space="0" w:color="auto"/>
            <w:right w:val="none" w:sz="0" w:space="0" w:color="auto"/>
          </w:divBdr>
          <w:divsChild>
            <w:div w:id="432743829">
              <w:marLeft w:val="0"/>
              <w:marRight w:val="0"/>
              <w:marTop w:val="0"/>
              <w:marBottom w:val="0"/>
              <w:divBdr>
                <w:top w:val="none" w:sz="0" w:space="0" w:color="auto"/>
                <w:left w:val="none" w:sz="0" w:space="0" w:color="auto"/>
                <w:bottom w:val="none" w:sz="0" w:space="0" w:color="auto"/>
                <w:right w:val="none" w:sz="0" w:space="0" w:color="auto"/>
              </w:divBdr>
            </w:div>
          </w:divsChild>
        </w:div>
        <w:div w:id="1724406584">
          <w:marLeft w:val="0"/>
          <w:marRight w:val="0"/>
          <w:marTop w:val="0"/>
          <w:marBottom w:val="0"/>
          <w:divBdr>
            <w:top w:val="none" w:sz="0" w:space="0" w:color="auto"/>
            <w:left w:val="none" w:sz="0" w:space="0" w:color="auto"/>
            <w:bottom w:val="none" w:sz="0" w:space="0" w:color="auto"/>
            <w:right w:val="none" w:sz="0" w:space="0" w:color="auto"/>
          </w:divBdr>
          <w:divsChild>
            <w:div w:id="1086196366">
              <w:marLeft w:val="0"/>
              <w:marRight w:val="0"/>
              <w:marTop w:val="0"/>
              <w:marBottom w:val="0"/>
              <w:divBdr>
                <w:top w:val="none" w:sz="0" w:space="0" w:color="auto"/>
                <w:left w:val="none" w:sz="0" w:space="0" w:color="auto"/>
                <w:bottom w:val="none" w:sz="0" w:space="0" w:color="auto"/>
                <w:right w:val="none" w:sz="0" w:space="0" w:color="auto"/>
              </w:divBdr>
            </w:div>
          </w:divsChild>
        </w:div>
        <w:div w:id="2047826107">
          <w:marLeft w:val="0"/>
          <w:marRight w:val="0"/>
          <w:marTop w:val="0"/>
          <w:marBottom w:val="0"/>
          <w:divBdr>
            <w:top w:val="none" w:sz="0" w:space="0" w:color="auto"/>
            <w:left w:val="none" w:sz="0" w:space="0" w:color="auto"/>
            <w:bottom w:val="none" w:sz="0" w:space="0" w:color="auto"/>
            <w:right w:val="none" w:sz="0" w:space="0" w:color="auto"/>
          </w:divBdr>
          <w:divsChild>
            <w:div w:id="519856845">
              <w:marLeft w:val="0"/>
              <w:marRight w:val="0"/>
              <w:marTop w:val="0"/>
              <w:marBottom w:val="0"/>
              <w:divBdr>
                <w:top w:val="none" w:sz="0" w:space="0" w:color="auto"/>
                <w:left w:val="none" w:sz="0" w:space="0" w:color="auto"/>
                <w:bottom w:val="none" w:sz="0" w:space="0" w:color="auto"/>
                <w:right w:val="none" w:sz="0" w:space="0" w:color="auto"/>
              </w:divBdr>
            </w:div>
          </w:divsChild>
        </w:div>
        <w:div w:id="136461303">
          <w:marLeft w:val="0"/>
          <w:marRight w:val="0"/>
          <w:marTop w:val="0"/>
          <w:marBottom w:val="0"/>
          <w:divBdr>
            <w:top w:val="none" w:sz="0" w:space="0" w:color="auto"/>
            <w:left w:val="none" w:sz="0" w:space="0" w:color="auto"/>
            <w:bottom w:val="none" w:sz="0" w:space="0" w:color="auto"/>
            <w:right w:val="none" w:sz="0" w:space="0" w:color="auto"/>
          </w:divBdr>
          <w:divsChild>
            <w:div w:id="437793766">
              <w:marLeft w:val="0"/>
              <w:marRight w:val="0"/>
              <w:marTop w:val="0"/>
              <w:marBottom w:val="0"/>
              <w:divBdr>
                <w:top w:val="none" w:sz="0" w:space="0" w:color="auto"/>
                <w:left w:val="none" w:sz="0" w:space="0" w:color="auto"/>
                <w:bottom w:val="none" w:sz="0" w:space="0" w:color="auto"/>
                <w:right w:val="none" w:sz="0" w:space="0" w:color="auto"/>
              </w:divBdr>
            </w:div>
          </w:divsChild>
        </w:div>
        <w:div w:id="238297647">
          <w:marLeft w:val="0"/>
          <w:marRight w:val="0"/>
          <w:marTop w:val="0"/>
          <w:marBottom w:val="0"/>
          <w:divBdr>
            <w:top w:val="none" w:sz="0" w:space="0" w:color="auto"/>
            <w:left w:val="none" w:sz="0" w:space="0" w:color="auto"/>
            <w:bottom w:val="none" w:sz="0" w:space="0" w:color="auto"/>
            <w:right w:val="none" w:sz="0" w:space="0" w:color="auto"/>
          </w:divBdr>
          <w:divsChild>
            <w:div w:id="247233525">
              <w:marLeft w:val="0"/>
              <w:marRight w:val="0"/>
              <w:marTop w:val="0"/>
              <w:marBottom w:val="0"/>
              <w:divBdr>
                <w:top w:val="none" w:sz="0" w:space="0" w:color="auto"/>
                <w:left w:val="none" w:sz="0" w:space="0" w:color="auto"/>
                <w:bottom w:val="none" w:sz="0" w:space="0" w:color="auto"/>
                <w:right w:val="none" w:sz="0" w:space="0" w:color="auto"/>
              </w:divBdr>
            </w:div>
          </w:divsChild>
        </w:div>
        <w:div w:id="1993680686">
          <w:marLeft w:val="0"/>
          <w:marRight w:val="0"/>
          <w:marTop w:val="0"/>
          <w:marBottom w:val="0"/>
          <w:divBdr>
            <w:top w:val="none" w:sz="0" w:space="0" w:color="auto"/>
            <w:left w:val="none" w:sz="0" w:space="0" w:color="auto"/>
            <w:bottom w:val="none" w:sz="0" w:space="0" w:color="auto"/>
            <w:right w:val="none" w:sz="0" w:space="0" w:color="auto"/>
          </w:divBdr>
          <w:divsChild>
            <w:div w:id="125896170">
              <w:marLeft w:val="0"/>
              <w:marRight w:val="0"/>
              <w:marTop w:val="0"/>
              <w:marBottom w:val="0"/>
              <w:divBdr>
                <w:top w:val="none" w:sz="0" w:space="0" w:color="auto"/>
                <w:left w:val="none" w:sz="0" w:space="0" w:color="auto"/>
                <w:bottom w:val="none" w:sz="0" w:space="0" w:color="auto"/>
                <w:right w:val="none" w:sz="0" w:space="0" w:color="auto"/>
              </w:divBdr>
            </w:div>
          </w:divsChild>
        </w:div>
        <w:div w:id="123428286">
          <w:marLeft w:val="0"/>
          <w:marRight w:val="0"/>
          <w:marTop w:val="0"/>
          <w:marBottom w:val="0"/>
          <w:divBdr>
            <w:top w:val="none" w:sz="0" w:space="0" w:color="auto"/>
            <w:left w:val="none" w:sz="0" w:space="0" w:color="auto"/>
            <w:bottom w:val="none" w:sz="0" w:space="0" w:color="auto"/>
            <w:right w:val="none" w:sz="0" w:space="0" w:color="auto"/>
          </w:divBdr>
          <w:divsChild>
            <w:div w:id="538081425">
              <w:marLeft w:val="0"/>
              <w:marRight w:val="0"/>
              <w:marTop w:val="0"/>
              <w:marBottom w:val="0"/>
              <w:divBdr>
                <w:top w:val="none" w:sz="0" w:space="0" w:color="auto"/>
                <w:left w:val="none" w:sz="0" w:space="0" w:color="auto"/>
                <w:bottom w:val="none" w:sz="0" w:space="0" w:color="auto"/>
                <w:right w:val="none" w:sz="0" w:space="0" w:color="auto"/>
              </w:divBdr>
            </w:div>
          </w:divsChild>
        </w:div>
        <w:div w:id="182978374">
          <w:marLeft w:val="0"/>
          <w:marRight w:val="0"/>
          <w:marTop w:val="0"/>
          <w:marBottom w:val="0"/>
          <w:divBdr>
            <w:top w:val="none" w:sz="0" w:space="0" w:color="auto"/>
            <w:left w:val="none" w:sz="0" w:space="0" w:color="auto"/>
            <w:bottom w:val="none" w:sz="0" w:space="0" w:color="auto"/>
            <w:right w:val="none" w:sz="0" w:space="0" w:color="auto"/>
          </w:divBdr>
          <w:divsChild>
            <w:div w:id="1998802342">
              <w:marLeft w:val="0"/>
              <w:marRight w:val="0"/>
              <w:marTop w:val="0"/>
              <w:marBottom w:val="0"/>
              <w:divBdr>
                <w:top w:val="none" w:sz="0" w:space="0" w:color="auto"/>
                <w:left w:val="none" w:sz="0" w:space="0" w:color="auto"/>
                <w:bottom w:val="none" w:sz="0" w:space="0" w:color="auto"/>
                <w:right w:val="none" w:sz="0" w:space="0" w:color="auto"/>
              </w:divBdr>
            </w:div>
          </w:divsChild>
        </w:div>
        <w:div w:id="2054039168">
          <w:marLeft w:val="0"/>
          <w:marRight w:val="0"/>
          <w:marTop w:val="0"/>
          <w:marBottom w:val="0"/>
          <w:divBdr>
            <w:top w:val="none" w:sz="0" w:space="0" w:color="auto"/>
            <w:left w:val="none" w:sz="0" w:space="0" w:color="auto"/>
            <w:bottom w:val="none" w:sz="0" w:space="0" w:color="auto"/>
            <w:right w:val="none" w:sz="0" w:space="0" w:color="auto"/>
          </w:divBdr>
          <w:divsChild>
            <w:div w:id="6410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406373">
      <w:bodyDiv w:val="1"/>
      <w:marLeft w:val="0"/>
      <w:marRight w:val="0"/>
      <w:marTop w:val="0"/>
      <w:marBottom w:val="0"/>
      <w:divBdr>
        <w:top w:val="none" w:sz="0" w:space="0" w:color="auto"/>
        <w:left w:val="none" w:sz="0" w:space="0" w:color="auto"/>
        <w:bottom w:val="none" w:sz="0" w:space="0" w:color="auto"/>
        <w:right w:val="none" w:sz="0" w:space="0" w:color="auto"/>
      </w:divBdr>
      <w:divsChild>
        <w:div w:id="44527883">
          <w:marLeft w:val="0"/>
          <w:marRight w:val="0"/>
          <w:marTop w:val="0"/>
          <w:marBottom w:val="0"/>
          <w:divBdr>
            <w:top w:val="none" w:sz="0" w:space="0" w:color="auto"/>
            <w:left w:val="none" w:sz="0" w:space="0" w:color="auto"/>
            <w:bottom w:val="none" w:sz="0" w:space="0" w:color="auto"/>
            <w:right w:val="none" w:sz="0" w:space="0" w:color="auto"/>
          </w:divBdr>
        </w:div>
        <w:div w:id="1387220094">
          <w:marLeft w:val="0"/>
          <w:marRight w:val="0"/>
          <w:marTop w:val="0"/>
          <w:marBottom w:val="0"/>
          <w:divBdr>
            <w:top w:val="none" w:sz="0" w:space="0" w:color="auto"/>
            <w:left w:val="none" w:sz="0" w:space="0" w:color="auto"/>
            <w:bottom w:val="none" w:sz="0" w:space="0" w:color="auto"/>
            <w:right w:val="none" w:sz="0" w:space="0" w:color="auto"/>
          </w:divBdr>
        </w:div>
      </w:divsChild>
    </w:div>
    <w:div w:id="945692514">
      <w:bodyDiv w:val="1"/>
      <w:marLeft w:val="0"/>
      <w:marRight w:val="0"/>
      <w:marTop w:val="0"/>
      <w:marBottom w:val="0"/>
      <w:divBdr>
        <w:top w:val="none" w:sz="0" w:space="0" w:color="auto"/>
        <w:left w:val="none" w:sz="0" w:space="0" w:color="auto"/>
        <w:bottom w:val="none" w:sz="0" w:space="0" w:color="auto"/>
        <w:right w:val="none" w:sz="0" w:space="0" w:color="auto"/>
      </w:divBdr>
    </w:div>
    <w:div w:id="10435563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686</TotalTime>
  <Pages>8</Pages>
  <Words>1602</Words>
  <Characters>9135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10716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dc:description>Master-ET-v3.8</dc:description>
  <cp:lastModifiedBy>Mrs C Smith</cp:lastModifiedBy>
  <cp:revision>30</cp:revision>
  <cp:lastPrinted>2014-09-17T13:26:00Z</cp:lastPrinted>
  <dcterms:created xsi:type="dcterms:W3CDTF">2025-09-13T06:28:00Z</dcterms:created>
  <dcterms:modified xsi:type="dcterms:W3CDTF">2025-10-20T14:58:00Z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