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2E759" w14:textId="77777777" w:rsidR="00513A6A" w:rsidRDefault="00513A6A" w:rsidP="00513A6A">
      <w:pPr>
        <w:pStyle w:val="Title"/>
        <w:spacing w:after="200" w:line="276" w:lineRule="auto"/>
        <w:jc w:val="both"/>
        <w:rPr>
          <w:rFonts w:ascii="Aptos" w:hAnsi="Aptos"/>
          <w:b/>
          <w:bCs/>
          <w:color w:val="000000" w:themeColor="text1"/>
          <w:sz w:val="32"/>
          <w:szCs w:val="32"/>
        </w:rPr>
      </w:pPr>
      <w:r>
        <w:rPr>
          <w:rFonts w:ascii="Aptos" w:hAnsi="Aptos"/>
          <w:b/>
          <w:bCs/>
          <w:color w:val="000000" w:themeColor="text1"/>
          <w:sz w:val="32"/>
          <w:szCs w:val="32"/>
        </w:rPr>
        <w:t xml:space="preserve">Consultation Out-turn Report: </w:t>
      </w:r>
    </w:p>
    <w:p w14:paraId="06223374" w14:textId="77777777" w:rsidR="00513A6A" w:rsidRDefault="00513A6A" w:rsidP="00513A6A">
      <w:pPr>
        <w:pStyle w:val="Title"/>
        <w:spacing w:after="200" w:line="276" w:lineRule="auto"/>
        <w:jc w:val="both"/>
        <w:rPr>
          <w:rFonts w:ascii="Aptos" w:hAnsi="Aptos"/>
          <w:b/>
          <w:bCs/>
          <w:color w:val="000000" w:themeColor="text1"/>
          <w:sz w:val="32"/>
          <w:szCs w:val="32"/>
        </w:rPr>
      </w:pPr>
      <w:r>
        <w:rPr>
          <w:rFonts w:ascii="Aptos" w:hAnsi="Aptos"/>
          <w:b/>
          <w:bCs/>
          <w:color w:val="000000" w:themeColor="text1"/>
          <w:sz w:val="32"/>
          <w:szCs w:val="32"/>
        </w:rPr>
        <w:t>Establishment of SEN Units at The Byrchall High School</w:t>
      </w:r>
    </w:p>
    <w:p w14:paraId="691C8EC1" w14:textId="77777777" w:rsidR="00513A6A" w:rsidRDefault="00513A6A" w:rsidP="00513A6A">
      <w:pPr>
        <w:pStyle w:val="Heading1"/>
        <w:spacing w:before="0" w:after="200"/>
        <w:jc w:val="both"/>
        <w:rPr>
          <w:rFonts w:ascii="Aptos" w:hAnsi="Aptos"/>
          <w:b w:val="0"/>
          <w:bCs w:val="0"/>
          <w:color w:val="000000" w:themeColor="text1"/>
          <w:sz w:val="24"/>
          <w:szCs w:val="24"/>
        </w:rPr>
      </w:pPr>
      <w:r>
        <w:rPr>
          <w:rFonts w:ascii="Aptos" w:hAnsi="Aptos"/>
          <w:b w:val="0"/>
          <w:bCs w:val="0"/>
          <w:color w:val="000000" w:themeColor="text1"/>
          <w:sz w:val="24"/>
          <w:szCs w:val="24"/>
        </w:rPr>
        <w:t>Executive Summary</w:t>
      </w:r>
    </w:p>
    <w:p w14:paraId="079D6300" w14:textId="77777777" w:rsidR="00513A6A" w:rsidRDefault="00513A6A" w:rsidP="00513A6A">
      <w:pPr>
        <w:jc w:val="both"/>
        <w:rPr>
          <w:rFonts w:ascii="Aptos" w:hAnsi="Aptos"/>
          <w:sz w:val="24"/>
          <w:szCs w:val="24"/>
        </w:rPr>
      </w:pPr>
      <w:r>
        <w:rPr>
          <w:rFonts w:ascii="Aptos" w:hAnsi="Aptos"/>
        </w:rPr>
        <w:t xml:space="preserve">This report presents the outcome of the statutory consultation on the proposal to establish two Special Educational Needs (SEN) Units at The Byrchall High School. The consultation ran from 4 December 2025 to 1 January 2026, engaging parents, </w:t>
      </w:r>
      <w:proofErr w:type="spellStart"/>
      <w:r>
        <w:rPr>
          <w:rFonts w:ascii="Aptos" w:hAnsi="Aptos"/>
        </w:rPr>
        <w:t>carers</w:t>
      </w:r>
      <w:proofErr w:type="spellEnd"/>
      <w:r>
        <w:rPr>
          <w:rFonts w:ascii="Aptos" w:hAnsi="Aptos"/>
        </w:rPr>
        <w:t xml:space="preserve">, staff, governors, Wigan Council, and other stakeholders. </w:t>
      </w:r>
    </w:p>
    <w:p w14:paraId="3BEBA528" w14:textId="77777777" w:rsidR="00513A6A" w:rsidRDefault="00513A6A" w:rsidP="00513A6A">
      <w:pPr>
        <w:jc w:val="both"/>
        <w:rPr>
          <w:rFonts w:ascii="Aptos" w:hAnsi="Aptos"/>
        </w:rPr>
      </w:pPr>
      <w:r>
        <w:rPr>
          <w:rFonts w:ascii="Aptos" w:hAnsi="Aptos"/>
        </w:rPr>
        <w:t xml:space="preserve">The proposal responds to a significant increase in the number of children and young people with Education, Health and Care Plans (EHCPs) in Wigan, which has risen by 53% since 2022 and is forecast to grow by 69% by 2032. The SEN Units aim to provide local, inclusive provision for pupils with Cognition and Learning difficulties and those requiring observation and assessment. </w:t>
      </w:r>
    </w:p>
    <w:p w14:paraId="5A2BC52C" w14:textId="77777777" w:rsidR="00513A6A" w:rsidRDefault="00513A6A" w:rsidP="00513A6A">
      <w:pPr>
        <w:jc w:val="both"/>
        <w:rPr>
          <w:rFonts w:ascii="Aptos" w:hAnsi="Aptos"/>
        </w:rPr>
      </w:pPr>
      <w:r>
        <w:rPr>
          <w:rFonts w:ascii="Aptos" w:hAnsi="Aptos"/>
        </w:rPr>
        <w:t xml:space="preserve">Feedback was broadly supportive, highlighting the benefits of local provision and integration within the school community. Concerns focused on future scalability, performance metrics, and funding sustainability. These issues will be addressed through ongoing monitoring and strategic planning with Wigan Council. The governing body has agreed to proceed with the proposal. </w:t>
      </w:r>
    </w:p>
    <w:p w14:paraId="5C381A6D" w14:textId="77777777" w:rsidR="00513A6A" w:rsidRDefault="00513A6A" w:rsidP="00513A6A">
      <w:pPr>
        <w:jc w:val="both"/>
        <w:rPr>
          <w:rFonts w:ascii="Aptos" w:hAnsi="Aptos"/>
        </w:rPr>
      </w:pPr>
      <w:r>
        <w:rPr>
          <w:rFonts w:ascii="Aptos" w:hAnsi="Aptos"/>
        </w:rPr>
        <w:t>The SEN Units opened in September 2025 and will continue operation, with annual reviews to ensure capacity, quality, and financial viability.</w:t>
      </w:r>
    </w:p>
    <w:p w14:paraId="6F5AA195" w14:textId="77777777" w:rsidR="00513A6A" w:rsidRDefault="00513A6A" w:rsidP="00513A6A">
      <w:pPr>
        <w:pStyle w:val="Heading1"/>
        <w:spacing w:before="0" w:after="200"/>
        <w:jc w:val="both"/>
        <w:rPr>
          <w:rFonts w:ascii="Aptos" w:hAnsi="Aptos"/>
          <w:color w:val="000000" w:themeColor="text1"/>
          <w:sz w:val="24"/>
          <w:szCs w:val="24"/>
        </w:rPr>
      </w:pPr>
      <w:r>
        <w:rPr>
          <w:rFonts w:ascii="Aptos" w:hAnsi="Aptos"/>
          <w:b w:val="0"/>
          <w:bCs w:val="0"/>
          <w:color w:val="000000" w:themeColor="text1"/>
          <w:sz w:val="24"/>
          <w:szCs w:val="24"/>
        </w:rPr>
        <w:t>Introduction</w:t>
      </w:r>
    </w:p>
    <w:p w14:paraId="02F5D71B" w14:textId="77777777" w:rsidR="00513A6A" w:rsidRDefault="00513A6A" w:rsidP="00513A6A">
      <w:pPr>
        <w:jc w:val="both"/>
        <w:rPr>
          <w:rFonts w:ascii="Aptos" w:hAnsi="Aptos"/>
          <w:sz w:val="24"/>
          <w:szCs w:val="24"/>
        </w:rPr>
      </w:pPr>
      <w:r>
        <w:rPr>
          <w:rFonts w:ascii="Aptos" w:hAnsi="Aptos"/>
        </w:rPr>
        <w:t>The Byrchall High School, in partnership with Wigan Council, proposed the establishment of two SEN Units within its mainstream secondary setting to meet the growing demand for specialist provision for pupils with SEND and/or an EHCP. This initiative aligns with Wigan Council’s Progress with Unity missions to create fair opportunities for all and make local communities flourish.</w:t>
      </w:r>
    </w:p>
    <w:p w14:paraId="2C49D198" w14:textId="77777777" w:rsidR="00513A6A" w:rsidRDefault="00513A6A" w:rsidP="00513A6A">
      <w:pPr>
        <w:pStyle w:val="Heading1"/>
        <w:spacing w:before="0" w:after="200"/>
        <w:jc w:val="both"/>
        <w:rPr>
          <w:rFonts w:ascii="Aptos" w:hAnsi="Aptos"/>
          <w:color w:val="000000" w:themeColor="text1"/>
          <w:sz w:val="24"/>
          <w:szCs w:val="24"/>
        </w:rPr>
      </w:pPr>
      <w:r>
        <w:rPr>
          <w:rFonts w:ascii="Aptos" w:hAnsi="Aptos"/>
          <w:b w:val="0"/>
          <w:bCs w:val="0"/>
          <w:color w:val="000000" w:themeColor="text1"/>
          <w:sz w:val="24"/>
          <w:szCs w:val="24"/>
        </w:rPr>
        <w:t>The Proposal</w:t>
      </w:r>
    </w:p>
    <w:p w14:paraId="26FA8333" w14:textId="77777777" w:rsidR="00513A6A" w:rsidRDefault="00513A6A" w:rsidP="00513A6A">
      <w:pPr>
        <w:jc w:val="both"/>
        <w:rPr>
          <w:rFonts w:ascii="Aptos" w:hAnsi="Aptos"/>
          <w:sz w:val="24"/>
          <w:szCs w:val="24"/>
        </w:rPr>
      </w:pPr>
      <w:r>
        <w:rPr>
          <w:rFonts w:ascii="Aptos" w:hAnsi="Aptos"/>
        </w:rPr>
        <w:t>The proposal sought approval to establish two SEN Units: one for Cognition and Learning Difficulties and another for Observation and Assessment, each with eight places. These units adopt a special school model while maintaining access to mainstream opportunities where appropriate. The rationale for this proposal is based on the sharp rise in EHCPs, from 2,337 in 2022 to 3,579 in 2025, with forecasts predicting 6,052 by 2032. This proposal addresses local capacity pressures and reduces reliance on costly out-of-borough placements.</w:t>
      </w:r>
    </w:p>
    <w:p w14:paraId="7387F0E0" w14:textId="77777777" w:rsidR="00513A6A" w:rsidRDefault="00513A6A" w:rsidP="00513A6A">
      <w:pPr>
        <w:pStyle w:val="Heading1"/>
        <w:spacing w:before="0" w:after="200"/>
        <w:jc w:val="both"/>
        <w:rPr>
          <w:rFonts w:ascii="Aptos" w:hAnsi="Aptos"/>
          <w:color w:val="000000" w:themeColor="text1"/>
          <w:sz w:val="24"/>
          <w:szCs w:val="24"/>
        </w:rPr>
      </w:pPr>
      <w:r>
        <w:rPr>
          <w:rFonts w:ascii="Aptos" w:hAnsi="Aptos"/>
          <w:b w:val="0"/>
          <w:bCs w:val="0"/>
          <w:color w:val="000000" w:themeColor="text1"/>
          <w:sz w:val="24"/>
          <w:szCs w:val="24"/>
        </w:rPr>
        <w:t>Consultation Process</w:t>
      </w:r>
    </w:p>
    <w:p w14:paraId="4130A7CD" w14:textId="77777777" w:rsidR="00513A6A" w:rsidRDefault="00513A6A" w:rsidP="00513A6A">
      <w:pPr>
        <w:jc w:val="both"/>
        <w:rPr>
          <w:rFonts w:ascii="Aptos" w:hAnsi="Aptos"/>
          <w:sz w:val="24"/>
          <w:szCs w:val="24"/>
        </w:rPr>
      </w:pPr>
      <w:r>
        <w:rPr>
          <w:rFonts w:ascii="Aptos" w:hAnsi="Aptos"/>
        </w:rPr>
        <w:t xml:space="preserve">The consultation process included publication of the proposal on 4 December 2025 and a representation period from 4 December to 1 January 2026. Methods included a public meeting on 16 December 2025, meetings with Trustees and the Governing Body, online publication on Wigan Council and school websites, and email submissions. Stakeholders consulted included parents, </w:t>
      </w:r>
      <w:proofErr w:type="spellStart"/>
      <w:r>
        <w:rPr>
          <w:rFonts w:ascii="Aptos" w:hAnsi="Aptos"/>
        </w:rPr>
        <w:t>carers</w:t>
      </w:r>
      <w:proofErr w:type="spellEnd"/>
      <w:r>
        <w:rPr>
          <w:rFonts w:ascii="Aptos" w:hAnsi="Aptos"/>
        </w:rPr>
        <w:t>, staff, governors, SEND partnerships, local schools, and Wigan Council.</w:t>
      </w:r>
    </w:p>
    <w:p w14:paraId="02A24901" w14:textId="77777777" w:rsidR="00513A6A" w:rsidRDefault="00513A6A" w:rsidP="00513A6A">
      <w:pPr>
        <w:pStyle w:val="Heading1"/>
        <w:spacing w:before="0" w:after="200"/>
        <w:jc w:val="both"/>
        <w:rPr>
          <w:rFonts w:ascii="Aptos" w:hAnsi="Aptos"/>
          <w:color w:val="000000" w:themeColor="text1"/>
          <w:sz w:val="24"/>
          <w:szCs w:val="24"/>
        </w:rPr>
      </w:pPr>
      <w:r>
        <w:rPr>
          <w:rFonts w:ascii="Aptos" w:hAnsi="Aptos"/>
          <w:b w:val="0"/>
          <w:bCs w:val="0"/>
          <w:color w:val="000000" w:themeColor="text1"/>
          <w:sz w:val="24"/>
          <w:szCs w:val="24"/>
        </w:rPr>
        <w:lastRenderedPageBreak/>
        <w:t>Summary of Responses</w:t>
      </w:r>
    </w:p>
    <w:p w14:paraId="26D76390" w14:textId="77777777" w:rsidR="00513A6A" w:rsidRDefault="00513A6A" w:rsidP="00513A6A">
      <w:pPr>
        <w:jc w:val="both"/>
        <w:rPr>
          <w:rFonts w:ascii="Aptos" w:hAnsi="Aptos"/>
          <w:sz w:val="24"/>
          <w:szCs w:val="24"/>
        </w:rPr>
      </w:pPr>
      <w:r>
        <w:rPr>
          <w:rFonts w:ascii="Aptos" w:hAnsi="Aptos"/>
        </w:rPr>
        <w:t xml:space="preserve">Responses were broadly supportive of the proposal. Key points raised through the consultation included integration into the school community, capacity and future expansion, inclusion in achievement and attendance metrics, funding arrangements, mixed-age classes, and transition planning for Year 11 leavers. </w:t>
      </w:r>
    </w:p>
    <w:tbl>
      <w:tblPr>
        <w:tblStyle w:val="TableGrid"/>
        <w:tblW w:w="9493" w:type="dxa"/>
        <w:tblLook w:val="04A0" w:firstRow="1" w:lastRow="0" w:firstColumn="1" w:lastColumn="0" w:noHBand="0" w:noVBand="1"/>
      </w:tblPr>
      <w:tblGrid>
        <w:gridCol w:w="3114"/>
        <w:gridCol w:w="6379"/>
      </w:tblGrid>
      <w:tr w:rsidR="00513A6A" w14:paraId="4BB73A0E" w14:textId="77777777" w:rsidTr="00513A6A">
        <w:trPr>
          <w:tblHead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347A2" w14:textId="77777777" w:rsidR="00513A6A" w:rsidRDefault="00513A6A">
            <w:pPr>
              <w:jc w:val="center"/>
              <w:rPr>
                <w:b/>
                <w:bCs/>
              </w:rPr>
            </w:pPr>
            <w:r>
              <w:rPr>
                <w:b/>
                <w:bCs/>
              </w:rPr>
              <w:t>Discussion Point</w:t>
            </w:r>
          </w:p>
          <w:p w14:paraId="6EAFE4CB" w14:textId="77777777" w:rsidR="00513A6A" w:rsidRDefault="00513A6A">
            <w:pPr>
              <w:jc w:val="center"/>
              <w:rPr>
                <w:b/>
                <w:bCs/>
              </w:rPr>
            </w:pP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E942DE" w14:textId="77777777" w:rsidR="00513A6A" w:rsidRDefault="00513A6A">
            <w:pPr>
              <w:jc w:val="center"/>
              <w:rPr>
                <w:b/>
                <w:bCs/>
              </w:rPr>
            </w:pPr>
            <w:r>
              <w:rPr>
                <w:b/>
                <w:bCs/>
              </w:rPr>
              <w:t>Response</w:t>
            </w:r>
          </w:p>
        </w:tc>
      </w:tr>
      <w:tr w:rsidR="00513A6A" w14:paraId="07655A2F" w14:textId="77777777" w:rsidTr="00513A6A">
        <w:tc>
          <w:tcPr>
            <w:tcW w:w="3114" w:type="dxa"/>
            <w:tcBorders>
              <w:top w:val="single" w:sz="4" w:space="0" w:color="auto"/>
              <w:left w:val="single" w:sz="4" w:space="0" w:color="auto"/>
              <w:bottom w:val="single" w:sz="4" w:space="0" w:color="auto"/>
              <w:right w:val="single" w:sz="4" w:space="0" w:color="auto"/>
            </w:tcBorders>
          </w:tcPr>
          <w:p w14:paraId="4F3B0B38" w14:textId="77777777" w:rsidR="00513A6A" w:rsidRDefault="00513A6A">
            <w:r>
              <w:t>How will students be fully integrated into the school community?</w:t>
            </w:r>
          </w:p>
          <w:p w14:paraId="272A3EE8" w14:textId="77777777" w:rsidR="00513A6A" w:rsidRDefault="00513A6A"/>
        </w:tc>
        <w:tc>
          <w:tcPr>
            <w:tcW w:w="6379" w:type="dxa"/>
            <w:tcBorders>
              <w:top w:val="single" w:sz="4" w:space="0" w:color="auto"/>
              <w:left w:val="single" w:sz="4" w:space="0" w:color="auto"/>
              <w:bottom w:val="single" w:sz="4" w:space="0" w:color="auto"/>
              <w:right w:val="single" w:sz="4" w:space="0" w:color="auto"/>
            </w:tcBorders>
          </w:tcPr>
          <w:p w14:paraId="1ABC22C6" w14:textId="77777777" w:rsidR="00513A6A" w:rsidRDefault="00513A6A">
            <w:r>
              <w:t xml:space="preserve">This has already happened across school, and we have been delighted in the different ways including accessing practical &amp; </w:t>
            </w:r>
            <w:proofErr w:type="spellStart"/>
            <w:r>
              <w:t>specialised</w:t>
            </w:r>
            <w:proofErr w:type="spellEnd"/>
            <w:r>
              <w:t xml:space="preserve"> lessons, extra-curricular activities and whole school events, where students from our SEN unit have integrated into our wider school life. This is about ensuring students are carefully supported according to their needs and seeking opportunities that is right for them to develop and flourish.</w:t>
            </w:r>
          </w:p>
          <w:p w14:paraId="3E8ECD43" w14:textId="77777777" w:rsidR="00513A6A" w:rsidRDefault="00513A6A"/>
        </w:tc>
      </w:tr>
      <w:tr w:rsidR="00513A6A" w14:paraId="07AAD19B" w14:textId="77777777" w:rsidTr="00513A6A">
        <w:tc>
          <w:tcPr>
            <w:tcW w:w="3114" w:type="dxa"/>
            <w:tcBorders>
              <w:top w:val="single" w:sz="4" w:space="0" w:color="auto"/>
              <w:left w:val="single" w:sz="4" w:space="0" w:color="auto"/>
              <w:bottom w:val="single" w:sz="4" w:space="0" w:color="auto"/>
              <w:right w:val="single" w:sz="4" w:space="0" w:color="auto"/>
            </w:tcBorders>
          </w:tcPr>
          <w:p w14:paraId="5641848E" w14:textId="77777777" w:rsidR="00513A6A" w:rsidRDefault="00513A6A">
            <w:r>
              <w:t>What will happen once the provision is full? – Will you need to make further application to increase the size if the need is there?</w:t>
            </w:r>
          </w:p>
          <w:p w14:paraId="2A87205E" w14:textId="77777777" w:rsidR="00513A6A" w:rsidRDefault="00513A6A"/>
        </w:tc>
        <w:tc>
          <w:tcPr>
            <w:tcW w:w="6379" w:type="dxa"/>
            <w:tcBorders>
              <w:top w:val="single" w:sz="4" w:space="0" w:color="auto"/>
              <w:left w:val="single" w:sz="4" w:space="0" w:color="auto"/>
              <w:bottom w:val="single" w:sz="4" w:space="0" w:color="auto"/>
              <w:right w:val="single" w:sz="4" w:space="0" w:color="auto"/>
            </w:tcBorders>
          </w:tcPr>
          <w:p w14:paraId="1CF17564" w14:textId="77777777" w:rsidR="00513A6A" w:rsidRDefault="00513A6A">
            <w:r>
              <w:t xml:space="preserve">At present there is no intention to extend or expand the roll. Over time this happened in the school we visited in Warrington. We will continue to work closely with the Local Authority regarding need and places as part of their strategy and our capacity. </w:t>
            </w:r>
          </w:p>
          <w:p w14:paraId="76313C7D" w14:textId="77777777" w:rsidR="00513A6A" w:rsidRDefault="00513A6A"/>
          <w:p w14:paraId="59EA8C55" w14:textId="77777777" w:rsidR="00513A6A" w:rsidRDefault="00513A6A">
            <w:r>
              <w:t>The facility at present can accommodate up to 16 learners clearly there will be a need for review of accommodation if there was a significant number.</w:t>
            </w:r>
          </w:p>
          <w:p w14:paraId="16167BB6" w14:textId="77777777" w:rsidR="00513A6A" w:rsidRDefault="00513A6A"/>
          <w:p w14:paraId="7794BEFE" w14:textId="77777777" w:rsidR="00513A6A" w:rsidRDefault="00513A6A">
            <w:r>
              <w:t>In liaising with Wigan LA any adjustments in numbers would be discussed with the Local Authority as part of their ‘Place Change notification’ national review held in November for the following September.</w:t>
            </w:r>
          </w:p>
          <w:p w14:paraId="20701A39" w14:textId="77777777" w:rsidR="00513A6A" w:rsidRDefault="00513A6A"/>
        </w:tc>
      </w:tr>
      <w:tr w:rsidR="00513A6A" w14:paraId="7964CFDA" w14:textId="77777777" w:rsidTr="00513A6A">
        <w:tc>
          <w:tcPr>
            <w:tcW w:w="3114" w:type="dxa"/>
            <w:tcBorders>
              <w:top w:val="single" w:sz="4" w:space="0" w:color="auto"/>
              <w:left w:val="single" w:sz="4" w:space="0" w:color="auto"/>
              <w:bottom w:val="single" w:sz="4" w:space="0" w:color="auto"/>
              <w:right w:val="single" w:sz="4" w:space="0" w:color="auto"/>
            </w:tcBorders>
          </w:tcPr>
          <w:p w14:paraId="3F37D311" w14:textId="77777777" w:rsidR="00513A6A" w:rsidRDefault="00513A6A">
            <w:r>
              <w:t xml:space="preserve">Will students be included in achievement and attendance metrics – if so is that a fair reflection? </w:t>
            </w:r>
          </w:p>
          <w:p w14:paraId="5BA91003" w14:textId="77777777" w:rsidR="00513A6A" w:rsidRDefault="00513A6A"/>
        </w:tc>
        <w:tc>
          <w:tcPr>
            <w:tcW w:w="6379" w:type="dxa"/>
            <w:tcBorders>
              <w:top w:val="single" w:sz="4" w:space="0" w:color="auto"/>
              <w:left w:val="single" w:sz="4" w:space="0" w:color="auto"/>
              <w:bottom w:val="single" w:sz="4" w:space="0" w:color="auto"/>
              <w:right w:val="single" w:sz="4" w:space="0" w:color="auto"/>
            </w:tcBorders>
          </w:tcPr>
          <w:p w14:paraId="7FD81EF3" w14:textId="77777777" w:rsidR="00513A6A" w:rsidRDefault="00513A6A">
            <w:r>
              <w:t xml:space="preserve">Short answer yes but their starting point and context should also be </w:t>
            </w:r>
            <w:proofErr w:type="gramStart"/>
            <w:r>
              <w:t>taken into account</w:t>
            </w:r>
            <w:proofErr w:type="gramEnd"/>
            <w:r>
              <w:t xml:space="preserve">. </w:t>
            </w:r>
          </w:p>
          <w:p w14:paraId="212844A5" w14:textId="77777777" w:rsidR="00513A6A" w:rsidRDefault="00513A6A"/>
          <w:p w14:paraId="20DE24DE" w14:textId="77777777" w:rsidR="00513A6A" w:rsidRDefault="00513A6A">
            <w:r>
              <w:t>Separate analysis will also be available to ensure the correct context and interpretation is understood.</w:t>
            </w:r>
          </w:p>
          <w:p w14:paraId="05391199" w14:textId="77777777" w:rsidR="00513A6A" w:rsidRDefault="00513A6A"/>
        </w:tc>
      </w:tr>
      <w:tr w:rsidR="00513A6A" w14:paraId="03FAEF85" w14:textId="77777777" w:rsidTr="00513A6A">
        <w:tc>
          <w:tcPr>
            <w:tcW w:w="3114" w:type="dxa"/>
            <w:tcBorders>
              <w:top w:val="single" w:sz="4" w:space="0" w:color="auto"/>
              <w:left w:val="single" w:sz="4" w:space="0" w:color="auto"/>
              <w:bottom w:val="single" w:sz="4" w:space="0" w:color="auto"/>
              <w:right w:val="single" w:sz="4" w:space="0" w:color="auto"/>
            </w:tcBorders>
          </w:tcPr>
          <w:p w14:paraId="2B86E405" w14:textId="77777777" w:rsidR="00513A6A" w:rsidRDefault="00513A6A">
            <w:r>
              <w:t>How will the resource be funded? How will the school receive funding?</w:t>
            </w:r>
          </w:p>
          <w:p w14:paraId="70E6572D" w14:textId="77777777" w:rsidR="00513A6A" w:rsidRDefault="00513A6A"/>
        </w:tc>
        <w:tc>
          <w:tcPr>
            <w:tcW w:w="6379" w:type="dxa"/>
            <w:tcBorders>
              <w:top w:val="single" w:sz="4" w:space="0" w:color="auto"/>
              <w:left w:val="single" w:sz="4" w:space="0" w:color="auto"/>
              <w:bottom w:val="single" w:sz="4" w:space="0" w:color="auto"/>
              <w:right w:val="single" w:sz="4" w:space="0" w:color="auto"/>
            </w:tcBorders>
          </w:tcPr>
          <w:p w14:paraId="4FAB3E80" w14:textId="77777777" w:rsidR="00513A6A" w:rsidRDefault="00513A6A">
            <w:r>
              <w:t>One-off capital funding from Wigan has been secured to support renovation and upgrade to the facilities to ensure facilities are appropriate and available.</w:t>
            </w:r>
          </w:p>
          <w:p w14:paraId="778996BA" w14:textId="77777777" w:rsidR="00513A6A" w:rsidRDefault="00513A6A"/>
          <w:p w14:paraId="746862CA" w14:textId="77777777" w:rsidR="00513A6A" w:rsidRDefault="00513A6A">
            <w:r>
              <w:t xml:space="preserve">Funding will be allocated per pupil for Cognition &amp; Learning places and for all 8 places for Assessment places. With full capacity funding commitment for the first year. </w:t>
            </w:r>
          </w:p>
          <w:p w14:paraId="63A2DE16" w14:textId="77777777" w:rsidR="00513A6A" w:rsidRDefault="00513A6A"/>
          <w:p w14:paraId="7A2ED1D2" w14:textId="77777777" w:rsidR="00513A6A" w:rsidRDefault="00513A6A">
            <w:r>
              <w:t>The mechanism will mirror the funding accessed by the school for mainstream SEND learners. It was agreed that funding would be distributed separately from mainstream allocations to enable an audit trail.</w:t>
            </w:r>
          </w:p>
          <w:p w14:paraId="713471B4" w14:textId="77777777" w:rsidR="00513A6A" w:rsidRDefault="00513A6A"/>
        </w:tc>
      </w:tr>
      <w:tr w:rsidR="00513A6A" w14:paraId="48B50B58" w14:textId="77777777" w:rsidTr="00513A6A">
        <w:tc>
          <w:tcPr>
            <w:tcW w:w="3114" w:type="dxa"/>
            <w:tcBorders>
              <w:top w:val="single" w:sz="4" w:space="0" w:color="auto"/>
              <w:left w:val="single" w:sz="4" w:space="0" w:color="auto"/>
              <w:bottom w:val="single" w:sz="4" w:space="0" w:color="auto"/>
              <w:right w:val="single" w:sz="4" w:space="0" w:color="auto"/>
            </w:tcBorders>
          </w:tcPr>
          <w:p w14:paraId="4CC36ECC" w14:textId="77777777" w:rsidR="00513A6A" w:rsidRDefault="00513A6A">
            <w:r>
              <w:lastRenderedPageBreak/>
              <w:t>If all students initially in Y7 will there be some mixed age classes in the future in the SEND unit?</w:t>
            </w:r>
          </w:p>
          <w:p w14:paraId="007E6BC5" w14:textId="77777777" w:rsidR="00513A6A" w:rsidRDefault="00513A6A"/>
        </w:tc>
        <w:tc>
          <w:tcPr>
            <w:tcW w:w="6379" w:type="dxa"/>
            <w:tcBorders>
              <w:top w:val="single" w:sz="4" w:space="0" w:color="auto"/>
              <w:left w:val="single" w:sz="4" w:space="0" w:color="auto"/>
              <w:bottom w:val="single" w:sz="4" w:space="0" w:color="auto"/>
              <w:right w:val="single" w:sz="4" w:space="0" w:color="auto"/>
            </w:tcBorders>
            <w:hideMark/>
          </w:tcPr>
          <w:p w14:paraId="0CF90803" w14:textId="77777777" w:rsidR="00513A6A" w:rsidRDefault="00513A6A">
            <w:r>
              <w:t xml:space="preserve">Potentially yes in the future. We have sufficient space, resource and expertise to accommodate this in such a small setting where learning is supported, nurtured and </w:t>
            </w:r>
            <w:proofErr w:type="spellStart"/>
            <w:r>
              <w:t>personalised</w:t>
            </w:r>
            <w:proofErr w:type="spellEnd"/>
            <w:r>
              <w:t>.</w:t>
            </w:r>
          </w:p>
        </w:tc>
      </w:tr>
      <w:tr w:rsidR="00513A6A" w14:paraId="5C02A947" w14:textId="77777777" w:rsidTr="00513A6A">
        <w:tc>
          <w:tcPr>
            <w:tcW w:w="3114" w:type="dxa"/>
            <w:tcBorders>
              <w:top w:val="single" w:sz="4" w:space="0" w:color="auto"/>
              <w:left w:val="single" w:sz="4" w:space="0" w:color="auto"/>
              <w:bottom w:val="single" w:sz="4" w:space="0" w:color="auto"/>
              <w:right w:val="single" w:sz="4" w:space="0" w:color="auto"/>
            </w:tcBorders>
          </w:tcPr>
          <w:p w14:paraId="64811369" w14:textId="77777777" w:rsidR="00513A6A" w:rsidRDefault="00513A6A">
            <w:r>
              <w:t>When students reach leaving age / Year 11 how will they be supported for their next steps? Can we ensure we have links to expose students to this?</w:t>
            </w:r>
          </w:p>
          <w:p w14:paraId="46D27C9C" w14:textId="77777777" w:rsidR="00513A6A" w:rsidRDefault="00513A6A"/>
        </w:tc>
        <w:tc>
          <w:tcPr>
            <w:tcW w:w="6379" w:type="dxa"/>
            <w:tcBorders>
              <w:top w:val="single" w:sz="4" w:space="0" w:color="auto"/>
              <w:left w:val="single" w:sz="4" w:space="0" w:color="auto"/>
              <w:bottom w:val="single" w:sz="4" w:space="0" w:color="auto"/>
              <w:right w:val="single" w:sz="4" w:space="0" w:color="auto"/>
            </w:tcBorders>
            <w:hideMark/>
          </w:tcPr>
          <w:p w14:paraId="140341DE" w14:textId="77777777" w:rsidR="00513A6A" w:rsidRDefault="00513A6A">
            <w:r>
              <w:t>This is a statutory requirement for all SEND students that their transition to their next steps is effectively supported be that Further Ed, work or elsewhere. Students will have a plan linked to their EHCP and level of need.</w:t>
            </w:r>
          </w:p>
        </w:tc>
      </w:tr>
    </w:tbl>
    <w:p w14:paraId="6D24FB81" w14:textId="77777777" w:rsidR="00513A6A" w:rsidRDefault="00513A6A" w:rsidP="00513A6A">
      <w:pPr>
        <w:jc w:val="both"/>
        <w:rPr>
          <w:rFonts w:ascii="Aptos" w:hAnsi="Aptos"/>
          <w:kern w:val="2"/>
          <w:lang w:eastAsia="zh-CN"/>
          <w14:ligatures w14:val="standardContextual"/>
        </w:rPr>
      </w:pPr>
    </w:p>
    <w:p w14:paraId="3ED18796" w14:textId="77777777" w:rsidR="00513A6A" w:rsidRDefault="00513A6A" w:rsidP="00513A6A">
      <w:pPr>
        <w:jc w:val="both"/>
        <w:rPr>
          <w:rFonts w:ascii="Aptos" w:hAnsi="Aptos"/>
        </w:rPr>
      </w:pPr>
      <w:r>
        <w:rPr>
          <w:rFonts w:ascii="Aptos" w:hAnsi="Aptos"/>
        </w:rPr>
        <w:t>Concerns raised focused on future scalability, fair interpretation of performance data, and long-term funding sustainability. These concerns are valid given forecasted EHCP growth and should inform future strategic planning. The school’s commitment to contextual performance analysis and statutory transition planning mitigates some risks. However, scalability and financial sustainability will require ongoing dialogue with Wigan Council.</w:t>
      </w:r>
    </w:p>
    <w:p w14:paraId="074B6BEC" w14:textId="77777777" w:rsidR="00513A6A" w:rsidRDefault="00513A6A" w:rsidP="00513A6A">
      <w:pPr>
        <w:pStyle w:val="Heading1"/>
        <w:spacing w:before="0" w:after="200"/>
        <w:jc w:val="both"/>
        <w:rPr>
          <w:rFonts w:ascii="Aptos" w:hAnsi="Aptos"/>
          <w:color w:val="000000" w:themeColor="text1"/>
          <w:sz w:val="24"/>
          <w:szCs w:val="24"/>
        </w:rPr>
      </w:pPr>
      <w:r>
        <w:rPr>
          <w:rFonts w:ascii="Aptos" w:hAnsi="Aptos"/>
          <w:b w:val="0"/>
          <w:bCs w:val="0"/>
          <w:color w:val="000000" w:themeColor="text1"/>
          <w:sz w:val="24"/>
          <w:szCs w:val="24"/>
        </w:rPr>
        <w:t>Next Steps</w:t>
      </w:r>
    </w:p>
    <w:p w14:paraId="7377FBD2" w14:textId="77777777" w:rsidR="00513A6A" w:rsidRDefault="00513A6A" w:rsidP="00513A6A">
      <w:pPr>
        <w:jc w:val="both"/>
        <w:rPr>
          <w:rFonts w:ascii="Aptos" w:hAnsi="Aptos"/>
          <w:sz w:val="24"/>
          <w:szCs w:val="24"/>
        </w:rPr>
      </w:pPr>
      <w:r>
        <w:rPr>
          <w:rFonts w:ascii="Aptos" w:hAnsi="Aptos"/>
        </w:rPr>
        <w:t xml:space="preserve">The SEN Units opened in September 2025 and will continue operation. </w:t>
      </w:r>
    </w:p>
    <w:p w14:paraId="5D04A53E" w14:textId="77777777" w:rsidR="00513A6A" w:rsidRDefault="00513A6A" w:rsidP="00513A6A">
      <w:pPr>
        <w:jc w:val="both"/>
        <w:rPr>
          <w:rFonts w:ascii="Aptos" w:hAnsi="Aptos"/>
        </w:rPr>
      </w:pPr>
      <w:r>
        <w:rPr>
          <w:rFonts w:ascii="Aptos" w:hAnsi="Aptos"/>
        </w:rPr>
        <w:t>Monitoring and review will include annual capacity and demand reviews with Wigan Council, termly performance and integration reports to the Governing Body, and financial audits to ensure transparency. Future planning will explore phased expansion if EHCP growth exceeds projections and maintain stakeholder engagement through regular updates and feedback loops.</w:t>
      </w:r>
    </w:p>
    <w:p w14:paraId="68640E08" w14:textId="408A9021" w:rsidR="003A7CFD" w:rsidRPr="00513A6A" w:rsidRDefault="003A7CFD" w:rsidP="00513A6A">
      <w:bookmarkStart w:id="0" w:name="_GoBack"/>
      <w:bookmarkEnd w:id="0"/>
    </w:p>
    <w:sectPr w:rsidR="003A7CFD" w:rsidRPr="00513A6A" w:rsidSect="004633EB">
      <w:headerReference w:type="default" r:id="rId11"/>
      <w:pgSz w:w="12240" w:h="15840"/>
      <w:pgMar w:top="1440" w:right="90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A9F41" w14:textId="77777777" w:rsidR="00C76DF2" w:rsidRDefault="00C76DF2" w:rsidP="003049B2">
      <w:pPr>
        <w:spacing w:after="0" w:line="240" w:lineRule="auto"/>
      </w:pPr>
      <w:r>
        <w:separator/>
      </w:r>
    </w:p>
  </w:endnote>
  <w:endnote w:type="continuationSeparator" w:id="0">
    <w:p w14:paraId="228007F5" w14:textId="77777777" w:rsidR="00C76DF2" w:rsidRDefault="00C76DF2" w:rsidP="0030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45627" w14:textId="77777777" w:rsidR="00C76DF2" w:rsidRDefault="00C76DF2" w:rsidP="003049B2">
      <w:pPr>
        <w:spacing w:after="0" w:line="240" w:lineRule="auto"/>
      </w:pPr>
      <w:r>
        <w:separator/>
      </w:r>
    </w:p>
  </w:footnote>
  <w:footnote w:type="continuationSeparator" w:id="0">
    <w:p w14:paraId="06F6E082" w14:textId="77777777" w:rsidR="00C76DF2" w:rsidRDefault="00C76DF2" w:rsidP="00304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3058B" w14:textId="74D470F4" w:rsidR="003049B2" w:rsidRDefault="004633EB">
    <w:pPr>
      <w:pStyle w:val="Header"/>
    </w:pPr>
    <w:r>
      <w:rPr>
        <w:noProof/>
      </w:rPr>
      <w:drawing>
        <wp:anchor distT="0" distB="0" distL="114300" distR="114300" simplePos="0" relativeHeight="251660288" behindDoc="0" locked="0" layoutInCell="1" allowOverlap="1" wp14:anchorId="14FE3322" wp14:editId="5F8B5672">
          <wp:simplePos x="0" y="0"/>
          <wp:positionH relativeFrom="column">
            <wp:posOffset>-80010</wp:posOffset>
          </wp:positionH>
          <wp:positionV relativeFrom="paragraph">
            <wp:posOffset>-306705</wp:posOffset>
          </wp:positionV>
          <wp:extent cx="1897380" cy="675507"/>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97380" cy="675507"/>
                  </a:xfrm>
                  <a:prstGeom prst="rect">
                    <a:avLst/>
                  </a:prstGeom>
                </pic:spPr>
              </pic:pic>
            </a:graphicData>
          </a:graphic>
          <wp14:sizeRelH relativeFrom="page">
            <wp14:pctWidth>0</wp14:pctWidth>
          </wp14:sizeRelH>
          <wp14:sizeRelV relativeFrom="page">
            <wp14:pctHeight>0</wp14:pctHeight>
          </wp14:sizeRelV>
        </wp:anchor>
      </w:drawing>
    </w:r>
    <w:r w:rsidR="003049B2" w:rsidRPr="00162AC7">
      <w:rPr>
        <w:noProof/>
      </w:rPr>
      <w:drawing>
        <wp:anchor distT="0" distB="0" distL="114300" distR="114300" simplePos="0" relativeHeight="251659264" behindDoc="1" locked="1" layoutInCell="1" allowOverlap="1" wp14:anchorId="26017E26" wp14:editId="4AF67257">
          <wp:simplePos x="0" y="0"/>
          <wp:positionH relativeFrom="margin">
            <wp:posOffset>4627245</wp:posOffset>
          </wp:positionH>
          <wp:positionV relativeFrom="page">
            <wp:posOffset>133350</wp:posOffset>
          </wp:positionV>
          <wp:extent cx="1629410" cy="688340"/>
          <wp:effectExtent l="0" t="0" r="889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2" cstate="print">
                    <a:extLst>
                      <a:ext uri="{28A0092B-C50C-407E-A947-70E740481C1C}">
                        <a14:useLocalDpi xmlns:a14="http://schemas.microsoft.com/office/drawing/2010/main" val="0"/>
                      </a:ext>
                    </a:extLst>
                  </a:blip>
                  <a:srcRect l="64501" t="2488" r="3745" b="88024"/>
                  <a:stretch>
                    <a:fillRect/>
                  </a:stretch>
                </pic:blipFill>
                <pic:spPr bwMode="auto">
                  <a:xfrm>
                    <a:off x="0" y="0"/>
                    <a:ext cx="1629410" cy="688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AD97691"/>
    <w:multiLevelType w:val="hybridMultilevel"/>
    <w:tmpl w:val="C8D64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B08"/>
    <w:rsid w:val="000D7C48"/>
    <w:rsid w:val="0015074B"/>
    <w:rsid w:val="0017337D"/>
    <w:rsid w:val="001C7344"/>
    <w:rsid w:val="001E3E76"/>
    <w:rsid w:val="0024642E"/>
    <w:rsid w:val="00273067"/>
    <w:rsid w:val="0029639D"/>
    <w:rsid w:val="002A48A6"/>
    <w:rsid w:val="002C300D"/>
    <w:rsid w:val="003049B2"/>
    <w:rsid w:val="00326F90"/>
    <w:rsid w:val="00363F7A"/>
    <w:rsid w:val="003A7CFD"/>
    <w:rsid w:val="004633EB"/>
    <w:rsid w:val="00480063"/>
    <w:rsid w:val="00493F98"/>
    <w:rsid w:val="004F43FC"/>
    <w:rsid w:val="00513A6A"/>
    <w:rsid w:val="00612F0D"/>
    <w:rsid w:val="00621441"/>
    <w:rsid w:val="0063568A"/>
    <w:rsid w:val="006C541A"/>
    <w:rsid w:val="006E5808"/>
    <w:rsid w:val="007B5DD5"/>
    <w:rsid w:val="008660B2"/>
    <w:rsid w:val="008B4E00"/>
    <w:rsid w:val="009725B4"/>
    <w:rsid w:val="00976D52"/>
    <w:rsid w:val="00984D81"/>
    <w:rsid w:val="00985649"/>
    <w:rsid w:val="009F7B80"/>
    <w:rsid w:val="00A55787"/>
    <w:rsid w:val="00A84E62"/>
    <w:rsid w:val="00AA1D8D"/>
    <w:rsid w:val="00AA3803"/>
    <w:rsid w:val="00B47730"/>
    <w:rsid w:val="00BD68DF"/>
    <w:rsid w:val="00C55502"/>
    <w:rsid w:val="00C649EF"/>
    <w:rsid w:val="00C71E5C"/>
    <w:rsid w:val="00C76DF2"/>
    <w:rsid w:val="00CB0664"/>
    <w:rsid w:val="00CB0CE3"/>
    <w:rsid w:val="00D076B2"/>
    <w:rsid w:val="00D635BA"/>
    <w:rsid w:val="00D6453B"/>
    <w:rsid w:val="00D97E4C"/>
    <w:rsid w:val="00E21334"/>
    <w:rsid w:val="00E56CF0"/>
    <w:rsid w:val="00EA39FA"/>
    <w:rsid w:val="00F26C0D"/>
    <w:rsid w:val="00F7792D"/>
    <w:rsid w:val="00FC0237"/>
    <w:rsid w:val="00FC1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C27B45"/>
  <w14:defaultImageDpi w14:val="300"/>
  <w15:docId w15:val="{56694193-1BE5-4038-83BF-3F17FC1C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73067"/>
    <w:rPr>
      <w:color w:val="0000FF" w:themeColor="hyperlink"/>
      <w:u w:val="single"/>
    </w:rPr>
  </w:style>
  <w:style w:type="character" w:styleId="UnresolvedMention">
    <w:name w:val="Unresolved Mention"/>
    <w:basedOn w:val="DefaultParagraphFont"/>
    <w:uiPriority w:val="99"/>
    <w:semiHidden/>
    <w:unhideWhenUsed/>
    <w:rsid w:val="00273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061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970BC00C8B624D895BFF9EDB09B6E5" ma:contentTypeVersion="12" ma:contentTypeDescription="Create a new document." ma:contentTypeScope="" ma:versionID="00c90a5d8ecd5800bb13b23896d42c30">
  <xsd:schema xmlns:xsd="http://www.w3.org/2001/XMLSchema" xmlns:xs="http://www.w3.org/2001/XMLSchema" xmlns:p="http://schemas.microsoft.com/office/2006/metadata/properties" xmlns:ns3="166e2a33-1ab0-433f-b0e9-6f3384a7dcbb" targetNamespace="http://schemas.microsoft.com/office/2006/metadata/properties" ma:root="true" ma:fieldsID="f39758d8db2aac5f847c882af4699181" ns3:_="">
    <xsd:import namespace="166e2a33-1ab0-433f-b0e9-6f3384a7dc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_activity" minOccurs="0"/>
                <xsd:element ref="ns3:MediaServiceObjectDetectorVersion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e2a33-1ab0-433f-b0e9-6f3384a7d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66e2a33-1ab0-433f-b0e9-6f3384a7dc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2AE5-7D28-4C66-B3D4-AA7676EE9519}">
  <ds:schemaRefs>
    <ds:schemaRef ds:uri="http://schemas.microsoft.com/sharepoint/v3/contenttype/forms"/>
  </ds:schemaRefs>
</ds:datastoreItem>
</file>

<file path=customXml/itemProps2.xml><?xml version="1.0" encoding="utf-8"?>
<ds:datastoreItem xmlns:ds="http://schemas.openxmlformats.org/officeDocument/2006/customXml" ds:itemID="{5A7B63DC-E8CA-4AB1-A6DC-5B4C7C59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e2a33-1ab0-433f-b0e9-6f3384a7d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8C6C0-8D60-4BF1-976B-EC9650617F0C}">
  <ds:schemaRefs>
    <ds:schemaRef ds:uri="http://schemas.microsoft.com/office/2006/documentManagement/types"/>
    <ds:schemaRef ds:uri="http://purl.org/dc/elements/1.1/"/>
    <ds:schemaRef ds:uri="http://schemas.microsoft.com/office/2006/metadata/properties"/>
    <ds:schemaRef ds:uri="166e2a33-1ab0-433f-b0e9-6f3384a7dcbb"/>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CD6C842-9029-4F26-AE4D-9CD5A2598748}">
  <ds:schemaRefs>
    <ds:schemaRef ds:uri="http://schemas.openxmlformats.org/officeDocument/2006/bibliography"/>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D Park</cp:lastModifiedBy>
  <cp:revision>2</cp:revision>
  <dcterms:created xsi:type="dcterms:W3CDTF">2026-01-15T12:20:00Z</dcterms:created>
  <dcterms:modified xsi:type="dcterms:W3CDTF">2026-01-15T12:20:00Z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0x010100B3970BC00C8B624D895BFF9EDB09B6E5</vt:lpwstr>
  </property>
</Properties>
</file>